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86AF" w14:textId="77777777" w:rsidR="0042739D" w:rsidRPr="0042739D" w:rsidRDefault="0042739D" w:rsidP="0042739D">
      <w:pPr>
        <w:pStyle w:val="Normal1"/>
        <w:spacing w:before="120" w:after="0"/>
        <w:rPr>
          <w:rFonts w:asciiTheme="minorHAnsi" w:hAnsiTheme="minorHAnsi" w:cstheme="minorHAnsi"/>
          <w:b/>
        </w:rPr>
      </w:pPr>
    </w:p>
    <w:tbl>
      <w:tblPr>
        <w:tblW w:w="11154" w:type="dxa"/>
        <w:tblInd w:w="-46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5577"/>
        <w:gridCol w:w="5577"/>
      </w:tblGrid>
      <w:tr w:rsidR="0042739D" w:rsidRPr="0042739D" w14:paraId="29CD53C8" w14:textId="77777777">
        <w:trPr>
          <w:trHeight w:val="481"/>
        </w:trPr>
        <w:tc>
          <w:tcPr>
            <w:tcW w:w="5577" w:type="dxa"/>
          </w:tcPr>
          <w:p w14:paraId="6875D006" w14:textId="77777777" w:rsidR="0042739D" w:rsidRPr="0042739D" w:rsidRDefault="0042739D" w:rsidP="001E6F33">
            <w:pPr>
              <w:pStyle w:val="Normal1"/>
              <w:spacing w:before="2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</w:t>
            </w:r>
            <w:r w:rsidRPr="0042739D">
              <w:rPr>
                <w:rFonts w:asciiTheme="minorHAnsi" w:hAnsiTheme="minorHAnsi"/>
                <w:b/>
              </w:rPr>
              <w:t>FOR IMMEDIATE RELEASE</w:t>
            </w:r>
          </w:p>
        </w:tc>
        <w:tc>
          <w:tcPr>
            <w:tcW w:w="5577" w:type="dxa"/>
          </w:tcPr>
          <w:p w14:paraId="0ABA57F7" w14:textId="2CB705AE" w:rsidR="0042739D" w:rsidRPr="0042739D" w:rsidRDefault="0042739D" w:rsidP="00EF4A08">
            <w:pPr>
              <w:pStyle w:val="Normal1"/>
              <w:spacing w:before="240" w:after="0"/>
              <w:rPr>
                <w:rFonts w:asciiTheme="minorHAnsi" w:hAnsiTheme="minorHAnsi"/>
              </w:rPr>
            </w:pPr>
            <w:r w:rsidRPr="0042739D">
              <w:rPr>
                <w:rFonts w:asciiTheme="minorHAnsi" w:hAnsiTheme="minorHAnsi"/>
              </w:rPr>
              <w:t xml:space="preserve">CONTACT:  </w:t>
            </w:r>
            <w:r>
              <w:rPr>
                <w:rFonts w:asciiTheme="minorHAnsi" w:hAnsiTheme="minorHAnsi"/>
              </w:rPr>
              <w:t xml:space="preserve">     </w:t>
            </w:r>
            <w:r w:rsidR="00EF4A08">
              <w:rPr>
                <w:rFonts w:asciiTheme="minorHAnsi" w:hAnsiTheme="minorHAnsi"/>
              </w:rPr>
              <w:t>Andrew Rogers</w:t>
            </w:r>
          </w:p>
        </w:tc>
      </w:tr>
      <w:tr w:rsidR="0042739D" w:rsidRPr="0042739D" w14:paraId="1E39791C" w14:textId="77777777">
        <w:trPr>
          <w:trHeight w:val="35"/>
        </w:trPr>
        <w:tc>
          <w:tcPr>
            <w:tcW w:w="5577" w:type="dxa"/>
          </w:tcPr>
          <w:p w14:paraId="4513EA36" w14:textId="77777777" w:rsidR="0042739D" w:rsidRPr="0042739D" w:rsidRDefault="0042739D" w:rsidP="001E6F33">
            <w:pPr>
              <w:pStyle w:val="Normal1"/>
              <w:spacing w:before="240" w:after="0"/>
              <w:rPr>
                <w:rFonts w:asciiTheme="minorHAnsi" w:hAnsiTheme="minorHAnsi"/>
              </w:rPr>
            </w:pPr>
          </w:p>
        </w:tc>
        <w:tc>
          <w:tcPr>
            <w:tcW w:w="5577" w:type="dxa"/>
          </w:tcPr>
          <w:p w14:paraId="280CE931" w14:textId="4420B2DD" w:rsidR="0042739D" w:rsidRPr="0042739D" w:rsidRDefault="0042739D" w:rsidP="001E6F33">
            <w:pPr>
              <w:pStyle w:val="Normal1"/>
              <w:keepNext/>
              <w:spacing w:after="0"/>
              <w:ind w:left="1332"/>
              <w:rPr>
                <w:rFonts w:asciiTheme="minorHAnsi" w:hAnsiTheme="minorHAnsi"/>
              </w:rPr>
            </w:pPr>
            <w:r w:rsidRPr="0042739D">
              <w:rPr>
                <w:rFonts w:asciiTheme="minorHAnsi" w:hAnsiTheme="minorHAnsi"/>
              </w:rPr>
              <w:t xml:space="preserve"> </w:t>
            </w:r>
            <w:r w:rsidR="00EF4A08">
              <w:rPr>
                <w:rFonts w:asciiTheme="minorHAnsi" w:hAnsiTheme="minorHAnsi" w:cs="Arial"/>
              </w:rPr>
              <w:t>(913) 203-2927</w:t>
            </w:r>
          </w:p>
          <w:p w14:paraId="415969B7" w14:textId="3788F2D0" w:rsidR="0042739D" w:rsidRPr="0042739D" w:rsidRDefault="0042739D" w:rsidP="00EF4A08">
            <w:pPr>
              <w:pStyle w:val="Normal1"/>
              <w:spacing w:after="0"/>
              <w:ind w:left="1332"/>
              <w:rPr>
                <w:rFonts w:asciiTheme="minorHAnsi" w:hAnsiTheme="minorHAnsi"/>
              </w:rPr>
            </w:pPr>
            <w:r w:rsidRPr="0042739D">
              <w:rPr>
                <w:rFonts w:asciiTheme="minorHAnsi" w:hAnsiTheme="minorHAnsi"/>
              </w:rPr>
              <w:t xml:space="preserve"> </w:t>
            </w:r>
            <w:hyperlink r:id="rId7" w:history="1">
              <w:r w:rsidR="00EF4A08" w:rsidRPr="001F40BA">
                <w:rPr>
                  <w:rStyle w:val="Hyperlink"/>
                  <w:rFonts w:asciiTheme="minorHAnsi" w:hAnsiTheme="minorHAnsi" w:cs="Arial"/>
                </w:rPr>
                <w:t>andrew.rogers@spx.com</w:t>
              </w:r>
            </w:hyperlink>
            <w:r w:rsidR="00EF4A08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42739D" w:rsidRPr="0042739D" w14:paraId="74940982" w14:textId="77777777">
        <w:trPr>
          <w:trHeight w:val="35"/>
        </w:trPr>
        <w:tc>
          <w:tcPr>
            <w:tcW w:w="5577" w:type="dxa"/>
          </w:tcPr>
          <w:p w14:paraId="1DE7E2AB" w14:textId="77777777" w:rsidR="0042739D" w:rsidRPr="0042739D" w:rsidRDefault="0042739D" w:rsidP="001E6F33">
            <w:pPr>
              <w:pStyle w:val="Normal1"/>
              <w:spacing w:before="240" w:after="0"/>
              <w:rPr>
                <w:rFonts w:asciiTheme="minorHAnsi" w:hAnsiTheme="minorHAnsi"/>
              </w:rPr>
            </w:pPr>
          </w:p>
        </w:tc>
        <w:tc>
          <w:tcPr>
            <w:tcW w:w="5577" w:type="dxa"/>
          </w:tcPr>
          <w:p w14:paraId="63EF7623" w14:textId="77777777" w:rsidR="0042739D" w:rsidRPr="0042739D" w:rsidRDefault="0042739D" w:rsidP="001E6F33">
            <w:pPr>
              <w:pStyle w:val="Normal1"/>
              <w:keepNext/>
              <w:spacing w:after="0"/>
              <w:ind w:left="1332"/>
              <w:rPr>
                <w:rFonts w:asciiTheme="minorHAnsi" w:hAnsiTheme="minorHAnsi"/>
              </w:rPr>
            </w:pPr>
          </w:p>
        </w:tc>
      </w:tr>
    </w:tbl>
    <w:p w14:paraId="0F329960" w14:textId="54FD6AB1" w:rsidR="00F12F71" w:rsidRPr="006F766D" w:rsidRDefault="00F12F71" w:rsidP="006F766D">
      <w:pPr>
        <w:pStyle w:val="normal10"/>
        <w:spacing w:before="0" w:beforeAutospacing="0" w:after="120" w:afterAutospacing="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Style w:val="Strong"/>
          <w:rFonts w:ascii="Calibri" w:hAnsi="Calibri" w:cs="Calibri"/>
          <w:color w:val="000000"/>
          <w:sz w:val="27"/>
          <w:szCs w:val="27"/>
        </w:rPr>
        <w:t xml:space="preserve">New Aero-X™ Coil Technology Expands Dry Operation </w:t>
      </w:r>
      <w:r w:rsidR="006F766D">
        <w:rPr>
          <w:rStyle w:val="Strong"/>
          <w:rFonts w:ascii="Calibri" w:hAnsi="Calibri" w:cs="Calibri"/>
          <w:color w:val="000000"/>
          <w:sz w:val="27"/>
          <w:szCs w:val="27"/>
        </w:rPr>
        <w:br/>
      </w:r>
      <w:r>
        <w:rPr>
          <w:rStyle w:val="Strong"/>
          <w:rFonts w:ascii="Calibri" w:hAnsi="Calibri" w:cs="Calibri"/>
          <w:color w:val="000000"/>
          <w:sz w:val="27"/>
          <w:szCs w:val="27"/>
        </w:rPr>
        <w:t>Flexibility of Marley® DT Fluid Cooler</w:t>
      </w:r>
    </w:p>
    <w:p w14:paraId="2332BD30" w14:textId="4D09C135" w:rsidR="00F12F71" w:rsidRDefault="00F12F71" w:rsidP="00F12F71">
      <w:pPr>
        <w:pStyle w:val="normal10"/>
        <w:spacing w:before="0" w:beforeAutospacing="0" w:after="120" w:afterAutospacing="0"/>
      </w:pPr>
      <w:r>
        <w:br/>
      </w:r>
      <w:r>
        <w:rPr>
          <w:rStyle w:val="Strong"/>
          <w:rFonts w:ascii="Calibri" w:hAnsi="Calibri" w:cs="Calibri"/>
          <w:color w:val="000000"/>
          <w:sz w:val="27"/>
          <w:szCs w:val="27"/>
        </w:rPr>
        <w:t>Overland Park, Kan.</w:t>
      </w:r>
      <w:r>
        <w:rPr>
          <w:rFonts w:ascii="Calibri" w:hAnsi="Calibri" w:cs="Calibri"/>
          <w:color w:val="000000"/>
          <w:sz w:val="27"/>
          <w:szCs w:val="27"/>
        </w:rPr>
        <w:t> – SPX Cooling Tech, LLC, a full-line, full-service industry leader in the design and manufacture of evaporative cooling towers, fluid coolers and related equipment, has incorporated new propriet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>ary Aero-X coil technology into its induced-draft, closed-circuit DT Fluid Coolers. The Aero-X tube profile maximizes thermal capacity per coil row thanks to the lowest air-side pressure drop (up to 10% more airflow at the same fan HP) and maximum heat transfer surface area. </w:t>
      </w:r>
    </w:p>
    <w:p w14:paraId="6C908E96" w14:textId="77777777" w:rsidR="00F12F71" w:rsidRDefault="00F12F71" w:rsidP="00F12F71">
      <w:pPr>
        <w:pStyle w:val="normal10"/>
        <w:spacing w:before="0" w:beforeAutospacing="0" w:after="120" w:afterAutospacing="0"/>
      </w:pPr>
      <w:r>
        <w:rPr>
          <w:rFonts w:ascii="Calibri" w:hAnsi="Calibri" w:cs="Calibri"/>
          <w:color w:val="000000"/>
          <w:sz w:val="27"/>
          <w:szCs w:val="27"/>
        </w:rPr>
        <w:t>Dry operation is extended for longer periods with switch point temperatures up to 10°F + higher than other similar closed-circuit cooling towers. Depending on climate, operators can gain up to 15-20% more incremental annual hours in dry mode, with 3,000 gallons/ton and $40/ton annual water savings per ton of cooling achievable in many areas. Optional finned coils further enhance dry operation capability at higher ambient temperatures.</w:t>
      </w:r>
    </w:p>
    <w:p w14:paraId="00BAFA85" w14:textId="77777777" w:rsidR="00F12F71" w:rsidRDefault="00F12F71" w:rsidP="00F12F71">
      <w:pPr>
        <w:pStyle w:val="normal10"/>
        <w:spacing w:before="0" w:beforeAutospacing="0" w:after="120" w:afterAutospacing="0"/>
      </w:pPr>
      <w:r>
        <w:rPr>
          <w:rFonts w:ascii="Calibri" w:hAnsi="Calibri" w:cs="Calibri"/>
          <w:color w:val="000000"/>
          <w:sz w:val="27"/>
          <w:szCs w:val="27"/>
        </w:rPr>
        <w:t>Reduced fluid pressure drop, up to 30% lower than previous generation, positively impacts system operating cost by lowering pump energy demand. DT models are available in a wide range of sizes and layouts to meet specific requirements and offer options for reducing equipment size.</w:t>
      </w:r>
    </w:p>
    <w:p w14:paraId="5627A045" w14:textId="51D53ADA" w:rsidR="00626B09" w:rsidRPr="00E2287E" w:rsidRDefault="00F12F71" w:rsidP="00F12F71">
      <w:pPr>
        <w:pStyle w:val="NormalWeb"/>
      </w:pPr>
      <w:r>
        <w:rPr>
          <w:rFonts w:ascii="Calibri" w:hAnsi="Calibri" w:cs="Calibri"/>
          <w:sz w:val="27"/>
          <w:szCs w:val="27"/>
        </w:rPr>
        <w:t xml:space="preserve">Standard equipment includes the low-maintenance Marley </w:t>
      </w:r>
      <w:proofErr w:type="spellStart"/>
      <w:r>
        <w:rPr>
          <w:rFonts w:ascii="Calibri" w:hAnsi="Calibri" w:cs="Calibri"/>
          <w:sz w:val="27"/>
          <w:szCs w:val="27"/>
        </w:rPr>
        <w:t>Geareducer</w:t>
      </w:r>
      <w:proofErr w:type="spellEnd"/>
      <w:r>
        <w:rPr>
          <w:rFonts w:ascii="Calibri" w:hAnsi="Calibri" w:cs="Calibri"/>
          <w:sz w:val="27"/>
          <w:szCs w:val="27"/>
        </w:rPr>
        <w:t>® gear drive, clog-resistant water distribution system, triple-pass air inlet louvers to reduce splash out, and low-sound fan for quiet operation. Heavy-duty construction with galvanized and stainless steel material options and five-year mechanical warranty ensure reliable cooling over a wide range of closed loop applications.</w:t>
      </w:r>
    </w:p>
    <w:p w14:paraId="27D7BE5B" w14:textId="0BBFFF13" w:rsidR="00037C0C" w:rsidRDefault="00037C0C" w:rsidP="00626B09">
      <w:pPr>
        <w:pStyle w:val="Normal1"/>
        <w:rPr>
          <w:rFonts w:asciiTheme="minorHAnsi" w:hAnsiTheme="minorHAnsi" w:cstheme="minorHAnsi"/>
        </w:rPr>
      </w:pPr>
    </w:p>
    <w:p w14:paraId="1AAE6F6B" w14:textId="77777777" w:rsidR="00301C3A" w:rsidRPr="001E0418" w:rsidRDefault="00301C3A" w:rsidP="00037C0C">
      <w:pPr>
        <w:pStyle w:val="Normal1"/>
        <w:jc w:val="center"/>
        <w:rPr>
          <w:rFonts w:asciiTheme="minorHAnsi" w:hAnsiTheme="minorHAnsi" w:cstheme="minorHAnsi"/>
        </w:rPr>
      </w:pPr>
      <w:r w:rsidRPr="001E0418">
        <w:rPr>
          <w:rFonts w:asciiTheme="minorHAnsi" w:hAnsiTheme="minorHAnsi" w:cstheme="minorHAnsi"/>
        </w:rPr>
        <w:t>###</w:t>
      </w:r>
    </w:p>
    <w:p w14:paraId="1746F7F8" w14:textId="77777777" w:rsidR="00C34DA4" w:rsidRPr="00A40D2D" w:rsidRDefault="00C34DA4" w:rsidP="00C34DA4">
      <w:pPr>
        <w:spacing w:before="100" w:beforeAutospacing="1"/>
        <w:rPr>
          <w:rFonts w:asciiTheme="minorHAnsi" w:hAnsiTheme="minorHAnsi" w:cstheme="minorHAnsi"/>
          <w:b/>
          <w:color w:val="auto"/>
        </w:rPr>
      </w:pPr>
      <w:r w:rsidRPr="00A40D2D">
        <w:rPr>
          <w:rFonts w:asciiTheme="minorHAnsi" w:hAnsiTheme="minorHAnsi" w:cstheme="minorHAnsi"/>
          <w:b/>
          <w:color w:val="auto"/>
        </w:rPr>
        <w:t>About SPX Cooling Tech</w:t>
      </w:r>
      <w:r>
        <w:rPr>
          <w:rFonts w:asciiTheme="minorHAnsi" w:hAnsiTheme="minorHAnsi" w:cstheme="minorHAnsi"/>
          <w:b/>
          <w:color w:val="auto"/>
        </w:rPr>
        <w:t>, LLC</w:t>
      </w:r>
      <w:r w:rsidRPr="00A40D2D">
        <w:rPr>
          <w:rFonts w:asciiTheme="minorHAnsi" w:hAnsiTheme="minorHAnsi" w:cstheme="minorHAnsi"/>
          <w:b/>
          <w:color w:val="auto"/>
        </w:rPr>
        <w:t>:</w:t>
      </w:r>
    </w:p>
    <w:p w14:paraId="18A39102" w14:textId="77777777" w:rsidR="00C34DA4" w:rsidRPr="00A40D2D" w:rsidRDefault="00C34DA4" w:rsidP="00C34DA4">
      <w:pPr>
        <w:spacing w:before="100" w:beforeAutospacing="1"/>
        <w:rPr>
          <w:rFonts w:asciiTheme="minorHAnsi" w:hAnsiTheme="minorHAnsi" w:cstheme="minorHAnsi"/>
          <w:color w:val="auto"/>
        </w:rPr>
      </w:pPr>
      <w:r w:rsidRPr="00A40D2D">
        <w:rPr>
          <w:rFonts w:asciiTheme="minorHAnsi" w:hAnsiTheme="minorHAnsi" w:cstheme="minorHAnsi"/>
          <w:color w:val="auto"/>
        </w:rPr>
        <w:t xml:space="preserve">SPX Cooling </w:t>
      </w:r>
      <w:r>
        <w:rPr>
          <w:rFonts w:asciiTheme="minorHAnsi" w:hAnsiTheme="minorHAnsi" w:cstheme="minorHAnsi"/>
          <w:color w:val="auto"/>
        </w:rPr>
        <w:t>Tech</w:t>
      </w:r>
      <w:r w:rsidRPr="00A40D2D">
        <w:rPr>
          <w:rFonts w:asciiTheme="minorHAnsi" w:hAnsiTheme="minorHAnsi" w:cstheme="minorHAnsi"/>
          <w:color w:val="auto"/>
        </w:rPr>
        <w:t xml:space="preserve"> is a leading global manufacturer of cooling towers, evaporative fluid coolers, evaporative condensers, industrial evaporators and air-cooled heat exchangers providing full-</w:t>
      </w:r>
      <w:r w:rsidRPr="00A40D2D">
        <w:rPr>
          <w:rFonts w:asciiTheme="minorHAnsi" w:hAnsiTheme="minorHAnsi" w:cstheme="minorHAnsi"/>
          <w:color w:val="auto"/>
        </w:rPr>
        <w:lastRenderedPageBreak/>
        <w:t xml:space="preserve">service cooling solutions, components and technical support for heating, ventilation and air conditioning (HVAC), refrigeration, </w:t>
      </w:r>
      <w:r>
        <w:rPr>
          <w:rFonts w:asciiTheme="minorHAnsi" w:hAnsiTheme="minorHAnsi" w:cstheme="minorHAnsi"/>
          <w:color w:val="auto"/>
        </w:rPr>
        <w:t xml:space="preserve">and </w:t>
      </w:r>
      <w:r w:rsidRPr="00A40D2D">
        <w:rPr>
          <w:rFonts w:asciiTheme="minorHAnsi" w:hAnsiTheme="minorHAnsi" w:cstheme="minorHAnsi"/>
          <w:color w:val="auto"/>
        </w:rPr>
        <w:t>industrial process cooling applic</w:t>
      </w:r>
      <w:r>
        <w:rPr>
          <w:rFonts w:asciiTheme="minorHAnsi" w:hAnsiTheme="minorHAnsi" w:cstheme="minorHAnsi"/>
          <w:color w:val="auto"/>
        </w:rPr>
        <w:t>ations. SPX Cooling Tech</w:t>
      </w:r>
      <w:r w:rsidRPr="00A40D2D">
        <w:rPr>
          <w:rFonts w:asciiTheme="minorHAnsi" w:hAnsiTheme="minorHAnsi" w:cstheme="minorHAnsi"/>
          <w:color w:val="auto"/>
        </w:rPr>
        <w:t xml:space="preserve"> and its product brands are part of SPX </w:t>
      </w:r>
      <w:r>
        <w:rPr>
          <w:rFonts w:asciiTheme="minorHAnsi" w:hAnsiTheme="minorHAnsi" w:cstheme="minorHAnsi"/>
          <w:color w:val="auto"/>
        </w:rPr>
        <w:t>Technologies, Inc</w:t>
      </w:r>
      <w:r w:rsidRPr="00A40D2D">
        <w:rPr>
          <w:rFonts w:asciiTheme="minorHAnsi" w:hAnsiTheme="minorHAnsi" w:cstheme="minorHAnsi"/>
          <w:color w:val="auto"/>
        </w:rPr>
        <w:t xml:space="preserve">. For more information, please visit </w:t>
      </w:r>
      <w:hyperlink r:id="rId8" w:history="1">
        <w:r w:rsidRPr="00A40D2D">
          <w:rPr>
            <w:rStyle w:val="Hyperlink"/>
            <w:rFonts w:asciiTheme="minorHAnsi" w:hAnsiTheme="minorHAnsi" w:cstheme="minorHAnsi"/>
          </w:rPr>
          <w:t>www.spxcooling.com</w:t>
        </w:r>
      </w:hyperlink>
      <w:r w:rsidRPr="00A40D2D">
        <w:rPr>
          <w:rFonts w:asciiTheme="minorHAnsi" w:hAnsiTheme="minorHAnsi" w:cstheme="minorHAnsi"/>
          <w:color w:val="auto"/>
        </w:rPr>
        <w:t>.</w:t>
      </w:r>
    </w:p>
    <w:p w14:paraId="55FEAEC6" w14:textId="77777777" w:rsidR="00C34DA4" w:rsidRPr="00A40D2D" w:rsidRDefault="00C34DA4" w:rsidP="00C34DA4">
      <w:pPr>
        <w:pStyle w:val="Normal1"/>
        <w:rPr>
          <w:rFonts w:asciiTheme="minorHAnsi" w:hAnsiTheme="minorHAnsi" w:cstheme="minorHAnsi"/>
        </w:rPr>
      </w:pPr>
      <w:r w:rsidRPr="00A40D2D">
        <w:rPr>
          <w:rFonts w:asciiTheme="minorHAnsi" w:hAnsiTheme="minorHAnsi" w:cstheme="minorHAnsi"/>
          <w:b/>
          <w:color w:val="auto"/>
        </w:rPr>
        <w:br/>
        <w:t xml:space="preserve">About SPX </w:t>
      </w:r>
      <w:r>
        <w:rPr>
          <w:rFonts w:asciiTheme="minorHAnsi" w:hAnsiTheme="minorHAnsi" w:cstheme="minorHAnsi"/>
          <w:b/>
          <w:color w:val="auto"/>
        </w:rPr>
        <w:t>Technologies, Inc.</w:t>
      </w:r>
      <w:proofErr w:type="gramStart"/>
      <w:r w:rsidRPr="00A40D2D">
        <w:rPr>
          <w:rFonts w:asciiTheme="minorHAnsi" w:hAnsiTheme="minorHAnsi" w:cstheme="minorHAnsi"/>
          <w:b/>
          <w:color w:val="auto"/>
        </w:rPr>
        <w:t>:</w:t>
      </w:r>
      <w:proofErr w:type="gramEnd"/>
      <w:r w:rsidRPr="00A40D2D">
        <w:rPr>
          <w:rFonts w:asciiTheme="minorHAnsi" w:hAnsiTheme="minorHAnsi" w:cstheme="minorHAnsi"/>
          <w:b/>
          <w:color w:val="auto"/>
        </w:rPr>
        <w:br/>
      </w:r>
      <w:r w:rsidRPr="00A40D2D">
        <w:rPr>
          <w:rFonts w:asciiTheme="minorHAnsi" w:hAnsiTheme="minorHAnsi" w:cstheme="minorHAnsi"/>
          <w:b/>
          <w:color w:val="auto"/>
        </w:rPr>
        <w:br/>
      </w:r>
      <w:r>
        <w:rPr>
          <w:rFonts w:asciiTheme="minorHAnsi" w:hAnsiTheme="minorHAnsi" w:cstheme="minorHAnsi"/>
        </w:rPr>
        <w:t>SPX Technologies, Inc.</w:t>
      </w:r>
      <w:r w:rsidRPr="00A40D2D">
        <w:rPr>
          <w:rFonts w:asciiTheme="minorHAnsi" w:hAnsiTheme="minorHAnsi" w:cstheme="minorHAnsi"/>
        </w:rPr>
        <w:t xml:space="preserve"> is a supplier of highly engineered products and technologies, holding leadership positions in the HVAC, detection and measurement, and engineered solutions markets. Based in Charlotte, North Carolina, SPX </w:t>
      </w:r>
      <w:r>
        <w:rPr>
          <w:rFonts w:asciiTheme="minorHAnsi" w:hAnsiTheme="minorHAnsi" w:cstheme="minorHAnsi"/>
        </w:rPr>
        <w:t>Technologies</w:t>
      </w:r>
      <w:r w:rsidRPr="00A40D2D">
        <w:rPr>
          <w:rFonts w:asciiTheme="minorHAnsi" w:hAnsiTheme="minorHAnsi" w:cstheme="minorHAnsi"/>
        </w:rPr>
        <w:t xml:space="preserve"> had approximately $1.</w:t>
      </w:r>
      <w:r>
        <w:rPr>
          <w:rFonts w:asciiTheme="minorHAnsi" w:hAnsiTheme="minorHAnsi" w:cstheme="minorHAnsi"/>
        </w:rPr>
        <w:t>6</w:t>
      </w:r>
      <w:r w:rsidRPr="00A40D2D">
        <w:rPr>
          <w:rFonts w:asciiTheme="minorHAnsi" w:hAnsiTheme="minorHAnsi" w:cstheme="minorHAnsi"/>
        </w:rPr>
        <w:t xml:space="preserve"> billion in annual revenue in 20</w:t>
      </w:r>
      <w:r>
        <w:rPr>
          <w:rFonts w:asciiTheme="minorHAnsi" w:hAnsiTheme="minorHAnsi" w:cstheme="minorHAnsi"/>
        </w:rPr>
        <w:t>20</w:t>
      </w:r>
      <w:r w:rsidRPr="00A40D2D">
        <w:rPr>
          <w:rFonts w:asciiTheme="minorHAnsi" w:hAnsiTheme="minorHAnsi" w:cstheme="minorHAnsi"/>
        </w:rPr>
        <w:t xml:space="preserve"> and over 4,500 employees in 1</w:t>
      </w:r>
      <w:r>
        <w:rPr>
          <w:rFonts w:asciiTheme="minorHAnsi" w:hAnsiTheme="minorHAnsi" w:cstheme="minorHAnsi"/>
        </w:rPr>
        <w:t>5</w:t>
      </w:r>
      <w:r w:rsidRPr="00A40D2D">
        <w:rPr>
          <w:rFonts w:asciiTheme="minorHAnsi" w:hAnsiTheme="minorHAnsi" w:cstheme="minorHAnsi"/>
        </w:rPr>
        <w:t xml:space="preserve"> countries. SPX </w:t>
      </w:r>
      <w:r>
        <w:rPr>
          <w:rFonts w:asciiTheme="minorHAnsi" w:hAnsiTheme="minorHAnsi" w:cstheme="minorHAnsi"/>
        </w:rPr>
        <w:t>Technologies</w:t>
      </w:r>
      <w:r w:rsidRPr="00A40D2D">
        <w:rPr>
          <w:rFonts w:asciiTheme="minorHAnsi" w:hAnsiTheme="minorHAnsi" w:cstheme="minorHAnsi"/>
        </w:rPr>
        <w:t xml:space="preserve"> is listed on the New York Stock Exchange under the ticker symbol “SPXC.” For more information, visit </w:t>
      </w:r>
      <w:hyperlink r:id="rId9" w:history="1">
        <w:r w:rsidRPr="00A40D2D">
          <w:rPr>
            <w:rStyle w:val="Hyperlink"/>
            <w:rFonts w:asciiTheme="minorHAnsi" w:hAnsiTheme="minorHAnsi" w:cstheme="minorHAnsi"/>
          </w:rPr>
          <w:t>www.spx.com</w:t>
        </w:r>
      </w:hyperlink>
      <w:r w:rsidRPr="00A40D2D">
        <w:rPr>
          <w:rFonts w:asciiTheme="minorHAnsi" w:hAnsiTheme="minorHAnsi" w:cstheme="minorHAnsi"/>
        </w:rPr>
        <w:t xml:space="preserve">. </w:t>
      </w:r>
    </w:p>
    <w:p w14:paraId="6A332372" w14:textId="77777777" w:rsidR="00F450D5" w:rsidRPr="001E0418" w:rsidRDefault="00F450D5" w:rsidP="00C34DA4">
      <w:pPr>
        <w:spacing w:before="100" w:beforeAutospacing="1"/>
        <w:rPr>
          <w:rFonts w:asciiTheme="minorHAnsi" w:hAnsiTheme="minorHAnsi" w:cstheme="minorHAnsi"/>
          <w:color w:val="auto"/>
        </w:rPr>
      </w:pPr>
    </w:p>
    <w:sectPr w:rsidR="00F450D5" w:rsidRPr="001E0418" w:rsidSect="0042739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7417C" w14:textId="77777777" w:rsidR="00996BFE" w:rsidRDefault="00996BFE" w:rsidP="0042739D">
      <w:pPr>
        <w:spacing w:after="0"/>
      </w:pPr>
      <w:r>
        <w:separator/>
      </w:r>
    </w:p>
  </w:endnote>
  <w:endnote w:type="continuationSeparator" w:id="0">
    <w:p w14:paraId="0679C3C2" w14:textId="77777777" w:rsidR="00996BFE" w:rsidRDefault="00996BFE" w:rsidP="00427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25FB9" w14:textId="1AD26304" w:rsidR="00255AB4" w:rsidRDefault="00255AB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93B23" wp14:editId="6B34196C">
          <wp:simplePos x="0" y="0"/>
          <wp:positionH relativeFrom="margin">
            <wp:posOffset>-1038225</wp:posOffset>
          </wp:positionH>
          <wp:positionV relativeFrom="margin">
            <wp:posOffset>7934325</wp:posOffset>
          </wp:positionV>
          <wp:extent cx="8014444" cy="1381122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CT Letterhead_No Bra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84"/>
                  <a:stretch/>
                </pic:blipFill>
                <pic:spPr bwMode="auto">
                  <a:xfrm>
                    <a:off x="0" y="0"/>
                    <a:ext cx="8014444" cy="1381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4DF6" w14:textId="347DA2DF" w:rsidR="00C34DA4" w:rsidRDefault="00C34DA4" w:rsidP="00C34DA4">
    <w:pPr>
      <w:pStyle w:val="Footer"/>
      <w:tabs>
        <w:tab w:val="clear" w:pos="4680"/>
        <w:tab w:val="clear" w:pos="9360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783BC" w14:textId="77777777" w:rsidR="00996BFE" w:rsidRDefault="00996BFE" w:rsidP="0042739D">
      <w:pPr>
        <w:spacing w:after="0"/>
      </w:pPr>
      <w:r>
        <w:separator/>
      </w:r>
    </w:p>
  </w:footnote>
  <w:footnote w:type="continuationSeparator" w:id="0">
    <w:p w14:paraId="77EC8747" w14:textId="77777777" w:rsidR="00996BFE" w:rsidRDefault="00996BFE" w:rsidP="00427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D5C1" w14:textId="14C53EA0" w:rsidR="00255AB4" w:rsidRDefault="00255A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C3B4D" wp14:editId="64751DBC">
          <wp:simplePos x="0" y="0"/>
          <wp:positionH relativeFrom="margin">
            <wp:align>center</wp:align>
          </wp:positionH>
          <wp:positionV relativeFrom="paragraph">
            <wp:posOffset>-533113</wp:posOffset>
          </wp:positionV>
          <wp:extent cx="7905569" cy="1023078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CT Letterhead_No 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569" cy="10230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413A"/>
    <w:multiLevelType w:val="hybridMultilevel"/>
    <w:tmpl w:val="0390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3E84"/>
    <w:multiLevelType w:val="hybridMultilevel"/>
    <w:tmpl w:val="B856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FCC"/>
    <w:multiLevelType w:val="hybridMultilevel"/>
    <w:tmpl w:val="3FCA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1023"/>
    <w:multiLevelType w:val="hybridMultilevel"/>
    <w:tmpl w:val="6F48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A"/>
    <w:rsid w:val="000023CD"/>
    <w:rsid w:val="00007E74"/>
    <w:rsid w:val="00036E77"/>
    <w:rsid w:val="00037C0C"/>
    <w:rsid w:val="000437FC"/>
    <w:rsid w:val="0005029C"/>
    <w:rsid w:val="0005333B"/>
    <w:rsid w:val="0005493D"/>
    <w:rsid w:val="0006277E"/>
    <w:rsid w:val="00064061"/>
    <w:rsid w:val="000902AA"/>
    <w:rsid w:val="0009529E"/>
    <w:rsid w:val="000A44FF"/>
    <w:rsid w:val="000B17BA"/>
    <w:rsid w:val="000B4F4D"/>
    <w:rsid w:val="000B6784"/>
    <w:rsid w:val="000C4201"/>
    <w:rsid w:val="001049AF"/>
    <w:rsid w:val="00107784"/>
    <w:rsid w:val="001167AA"/>
    <w:rsid w:val="00132814"/>
    <w:rsid w:val="00142C5E"/>
    <w:rsid w:val="00146577"/>
    <w:rsid w:val="00155E57"/>
    <w:rsid w:val="00157C98"/>
    <w:rsid w:val="001602EC"/>
    <w:rsid w:val="00174EB0"/>
    <w:rsid w:val="00186704"/>
    <w:rsid w:val="001A1506"/>
    <w:rsid w:val="001B062D"/>
    <w:rsid w:val="001B228C"/>
    <w:rsid w:val="001B317C"/>
    <w:rsid w:val="001C00FA"/>
    <w:rsid w:val="001C38E4"/>
    <w:rsid w:val="001C3D3C"/>
    <w:rsid w:val="001D0AE9"/>
    <w:rsid w:val="001E0418"/>
    <w:rsid w:val="001E4BE1"/>
    <w:rsid w:val="001E6F33"/>
    <w:rsid w:val="001E7FCF"/>
    <w:rsid w:val="002106B0"/>
    <w:rsid w:val="00215920"/>
    <w:rsid w:val="00220D6B"/>
    <w:rsid w:val="0022195B"/>
    <w:rsid w:val="002240F2"/>
    <w:rsid w:val="0022428B"/>
    <w:rsid w:val="0022594A"/>
    <w:rsid w:val="00245A51"/>
    <w:rsid w:val="00247477"/>
    <w:rsid w:val="00252422"/>
    <w:rsid w:val="00255A85"/>
    <w:rsid w:val="00255AB4"/>
    <w:rsid w:val="00256181"/>
    <w:rsid w:val="00260A6A"/>
    <w:rsid w:val="00275D07"/>
    <w:rsid w:val="00282CA9"/>
    <w:rsid w:val="00284B12"/>
    <w:rsid w:val="002957D7"/>
    <w:rsid w:val="002A54FB"/>
    <w:rsid w:val="002D4380"/>
    <w:rsid w:val="002E0313"/>
    <w:rsid w:val="002E29E6"/>
    <w:rsid w:val="002E6B7D"/>
    <w:rsid w:val="002F5DD5"/>
    <w:rsid w:val="00301C3A"/>
    <w:rsid w:val="0030280B"/>
    <w:rsid w:val="003171D7"/>
    <w:rsid w:val="00330679"/>
    <w:rsid w:val="00346B22"/>
    <w:rsid w:val="00351CDF"/>
    <w:rsid w:val="003762DD"/>
    <w:rsid w:val="00377FB0"/>
    <w:rsid w:val="00387B23"/>
    <w:rsid w:val="003B60C4"/>
    <w:rsid w:val="003D055E"/>
    <w:rsid w:val="003D2BB1"/>
    <w:rsid w:val="00404083"/>
    <w:rsid w:val="00407290"/>
    <w:rsid w:val="0040792D"/>
    <w:rsid w:val="00407B15"/>
    <w:rsid w:val="00413248"/>
    <w:rsid w:val="0042739D"/>
    <w:rsid w:val="004357B1"/>
    <w:rsid w:val="004473AE"/>
    <w:rsid w:val="00467641"/>
    <w:rsid w:val="00472660"/>
    <w:rsid w:val="00472AEB"/>
    <w:rsid w:val="0047332C"/>
    <w:rsid w:val="004753FF"/>
    <w:rsid w:val="00476305"/>
    <w:rsid w:val="00477655"/>
    <w:rsid w:val="004A3F21"/>
    <w:rsid w:val="004A77D2"/>
    <w:rsid w:val="004B07FB"/>
    <w:rsid w:val="004D3DBE"/>
    <w:rsid w:val="004E022B"/>
    <w:rsid w:val="004F3276"/>
    <w:rsid w:val="005025A1"/>
    <w:rsid w:val="005061F6"/>
    <w:rsid w:val="00521D6C"/>
    <w:rsid w:val="00526C21"/>
    <w:rsid w:val="00540C4F"/>
    <w:rsid w:val="00566AA0"/>
    <w:rsid w:val="00580CB6"/>
    <w:rsid w:val="00587C2D"/>
    <w:rsid w:val="005A5135"/>
    <w:rsid w:val="005A7915"/>
    <w:rsid w:val="005C5F15"/>
    <w:rsid w:val="005D72C4"/>
    <w:rsid w:val="005F12A3"/>
    <w:rsid w:val="00600DCD"/>
    <w:rsid w:val="006112EC"/>
    <w:rsid w:val="006154C7"/>
    <w:rsid w:val="006229E1"/>
    <w:rsid w:val="00626B09"/>
    <w:rsid w:val="00627DEB"/>
    <w:rsid w:val="00640049"/>
    <w:rsid w:val="006403E8"/>
    <w:rsid w:val="00642F96"/>
    <w:rsid w:val="0064669E"/>
    <w:rsid w:val="00670ABA"/>
    <w:rsid w:val="00675517"/>
    <w:rsid w:val="006844BB"/>
    <w:rsid w:val="0069091A"/>
    <w:rsid w:val="006951AC"/>
    <w:rsid w:val="006B6D89"/>
    <w:rsid w:val="006C4107"/>
    <w:rsid w:val="006C6134"/>
    <w:rsid w:val="006F766D"/>
    <w:rsid w:val="007032D3"/>
    <w:rsid w:val="007038DE"/>
    <w:rsid w:val="00721E7A"/>
    <w:rsid w:val="00736770"/>
    <w:rsid w:val="00783E77"/>
    <w:rsid w:val="0078408E"/>
    <w:rsid w:val="00793E8C"/>
    <w:rsid w:val="00794A20"/>
    <w:rsid w:val="007A69D1"/>
    <w:rsid w:val="007B6899"/>
    <w:rsid w:val="007C3D1B"/>
    <w:rsid w:val="007C6CF9"/>
    <w:rsid w:val="007E7700"/>
    <w:rsid w:val="00803A7F"/>
    <w:rsid w:val="00807C50"/>
    <w:rsid w:val="00814DD5"/>
    <w:rsid w:val="0081500A"/>
    <w:rsid w:val="00830A9E"/>
    <w:rsid w:val="00853B4B"/>
    <w:rsid w:val="00861610"/>
    <w:rsid w:val="008626E6"/>
    <w:rsid w:val="00881D91"/>
    <w:rsid w:val="00884F1B"/>
    <w:rsid w:val="00895401"/>
    <w:rsid w:val="0089619D"/>
    <w:rsid w:val="008A09AB"/>
    <w:rsid w:val="008A3D01"/>
    <w:rsid w:val="008B0FA5"/>
    <w:rsid w:val="008B189F"/>
    <w:rsid w:val="008C00CB"/>
    <w:rsid w:val="008D7FC4"/>
    <w:rsid w:val="008E1534"/>
    <w:rsid w:val="008F131F"/>
    <w:rsid w:val="008F1DE4"/>
    <w:rsid w:val="008F3626"/>
    <w:rsid w:val="008F53E3"/>
    <w:rsid w:val="00936E95"/>
    <w:rsid w:val="00951955"/>
    <w:rsid w:val="00961BF6"/>
    <w:rsid w:val="009678B5"/>
    <w:rsid w:val="00981574"/>
    <w:rsid w:val="009822CF"/>
    <w:rsid w:val="00996438"/>
    <w:rsid w:val="00996BFE"/>
    <w:rsid w:val="009C44B3"/>
    <w:rsid w:val="009C7F0E"/>
    <w:rsid w:val="009D56B7"/>
    <w:rsid w:val="00A10E20"/>
    <w:rsid w:val="00A1562B"/>
    <w:rsid w:val="00A47592"/>
    <w:rsid w:val="00A553D9"/>
    <w:rsid w:val="00A615E8"/>
    <w:rsid w:val="00A641F8"/>
    <w:rsid w:val="00A80C74"/>
    <w:rsid w:val="00A81FD1"/>
    <w:rsid w:val="00A8751D"/>
    <w:rsid w:val="00A95EE3"/>
    <w:rsid w:val="00AA22F1"/>
    <w:rsid w:val="00AA4F08"/>
    <w:rsid w:val="00AD1187"/>
    <w:rsid w:val="00AD5142"/>
    <w:rsid w:val="00AE65F3"/>
    <w:rsid w:val="00AF2766"/>
    <w:rsid w:val="00B01CB6"/>
    <w:rsid w:val="00B119FD"/>
    <w:rsid w:val="00B15D38"/>
    <w:rsid w:val="00B31061"/>
    <w:rsid w:val="00B44598"/>
    <w:rsid w:val="00B4537F"/>
    <w:rsid w:val="00B6083D"/>
    <w:rsid w:val="00B84405"/>
    <w:rsid w:val="00B90DF5"/>
    <w:rsid w:val="00BA1077"/>
    <w:rsid w:val="00BA7AEC"/>
    <w:rsid w:val="00BC6965"/>
    <w:rsid w:val="00BC715C"/>
    <w:rsid w:val="00BE04D0"/>
    <w:rsid w:val="00BE5EF1"/>
    <w:rsid w:val="00C01ACF"/>
    <w:rsid w:val="00C2057D"/>
    <w:rsid w:val="00C20AF2"/>
    <w:rsid w:val="00C3083E"/>
    <w:rsid w:val="00C34DA4"/>
    <w:rsid w:val="00C36588"/>
    <w:rsid w:val="00C50393"/>
    <w:rsid w:val="00C52D14"/>
    <w:rsid w:val="00C60CE5"/>
    <w:rsid w:val="00C70E7E"/>
    <w:rsid w:val="00C75CB6"/>
    <w:rsid w:val="00C8265F"/>
    <w:rsid w:val="00C93EE6"/>
    <w:rsid w:val="00CA6D02"/>
    <w:rsid w:val="00CC3A71"/>
    <w:rsid w:val="00CC3B98"/>
    <w:rsid w:val="00CD0EE5"/>
    <w:rsid w:val="00CD35FA"/>
    <w:rsid w:val="00CE5E3A"/>
    <w:rsid w:val="00CE7318"/>
    <w:rsid w:val="00CF51CB"/>
    <w:rsid w:val="00D02524"/>
    <w:rsid w:val="00D02B18"/>
    <w:rsid w:val="00D20499"/>
    <w:rsid w:val="00D24C15"/>
    <w:rsid w:val="00D3632F"/>
    <w:rsid w:val="00D370FB"/>
    <w:rsid w:val="00D44CB6"/>
    <w:rsid w:val="00D46022"/>
    <w:rsid w:val="00D47829"/>
    <w:rsid w:val="00D56255"/>
    <w:rsid w:val="00D733FE"/>
    <w:rsid w:val="00D81A1D"/>
    <w:rsid w:val="00D92874"/>
    <w:rsid w:val="00D94C93"/>
    <w:rsid w:val="00DA0925"/>
    <w:rsid w:val="00DA1F73"/>
    <w:rsid w:val="00DA5ADD"/>
    <w:rsid w:val="00DB2CE4"/>
    <w:rsid w:val="00DE21C3"/>
    <w:rsid w:val="00E0203E"/>
    <w:rsid w:val="00E0371B"/>
    <w:rsid w:val="00E03797"/>
    <w:rsid w:val="00E114C8"/>
    <w:rsid w:val="00E2287E"/>
    <w:rsid w:val="00E242B3"/>
    <w:rsid w:val="00E322E7"/>
    <w:rsid w:val="00E34539"/>
    <w:rsid w:val="00E376C2"/>
    <w:rsid w:val="00E428E9"/>
    <w:rsid w:val="00E42FF2"/>
    <w:rsid w:val="00E63279"/>
    <w:rsid w:val="00E64717"/>
    <w:rsid w:val="00E91E01"/>
    <w:rsid w:val="00E91F55"/>
    <w:rsid w:val="00EA620E"/>
    <w:rsid w:val="00EB4F03"/>
    <w:rsid w:val="00EB74FD"/>
    <w:rsid w:val="00EC0BBB"/>
    <w:rsid w:val="00EC4E15"/>
    <w:rsid w:val="00ED287D"/>
    <w:rsid w:val="00ED2C70"/>
    <w:rsid w:val="00EE0065"/>
    <w:rsid w:val="00EE213B"/>
    <w:rsid w:val="00EE7872"/>
    <w:rsid w:val="00EF4A08"/>
    <w:rsid w:val="00F01F07"/>
    <w:rsid w:val="00F040CA"/>
    <w:rsid w:val="00F06A4F"/>
    <w:rsid w:val="00F11732"/>
    <w:rsid w:val="00F12F71"/>
    <w:rsid w:val="00F16EB9"/>
    <w:rsid w:val="00F21490"/>
    <w:rsid w:val="00F33E25"/>
    <w:rsid w:val="00F450D5"/>
    <w:rsid w:val="00F53225"/>
    <w:rsid w:val="00F66844"/>
    <w:rsid w:val="00F75056"/>
    <w:rsid w:val="00F80D37"/>
    <w:rsid w:val="00F95D84"/>
    <w:rsid w:val="00FA1020"/>
    <w:rsid w:val="00FA1C31"/>
    <w:rsid w:val="00FB4B9A"/>
    <w:rsid w:val="00FB75B8"/>
    <w:rsid w:val="00FC4C93"/>
    <w:rsid w:val="00FC5563"/>
    <w:rsid w:val="00FD62B4"/>
    <w:rsid w:val="00FD6BBB"/>
    <w:rsid w:val="00FD6D6C"/>
    <w:rsid w:val="00FD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AF9329"/>
  <w15:docId w15:val="{5DEDC3D6-6FC7-4DFE-86A3-7EB19475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3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1C3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3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39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3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39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3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19FD"/>
  </w:style>
  <w:style w:type="character" w:styleId="CommentReference">
    <w:name w:val="annotation reference"/>
    <w:basedOn w:val="DefaultParagraphFont"/>
    <w:uiPriority w:val="99"/>
    <w:semiHidden/>
    <w:unhideWhenUsed/>
    <w:rsid w:val="00F53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0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3626"/>
    <w:rPr>
      <w:color w:val="605E5C"/>
      <w:shd w:val="clear" w:color="auto" w:fill="E1DFDD"/>
    </w:rPr>
  </w:style>
  <w:style w:type="paragraph" w:styleId="Revision">
    <w:name w:val="Revision"/>
    <w:hidden/>
    <w:semiHidden/>
    <w:rsid w:val="00E42F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E21C3"/>
    <w:rPr>
      <w:b/>
      <w:bCs/>
    </w:rPr>
  </w:style>
  <w:style w:type="paragraph" w:styleId="ListParagraph">
    <w:name w:val="List Paragraph"/>
    <w:basedOn w:val="Normal"/>
    <w:rsid w:val="00DE21C3"/>
    <w:pPr>
      <w:ind w:left="720"/>
      <w:contextualSpacing/>
    </w:pPr>
  </w:style>
  <w:style w:type="paragraph" w:customStyle="1" w:styleId="normal10">
    <w:name w:val="normal1"/>
    <w:basedOn w:val="Normal"/>
    <w:rsid w:val="00F12F71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4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02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5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xcool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.rogers@spx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x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Jacobson</dc:creator>
  <cp:lastModifiedBy>Rogers, Andrew</cp:lastModifiedBy>
  <cp:revision>3</cp:revision>
  <dcterms:created xsi:type="dcterms:W3CDTF">2023-01-31T16:21:00Z</dcterms:created>
  <dcterms:modified xsi:type="dcterms:W3CDTF">2023-02-02T16:09:00Z</dcterms:modified>
</cp:coreProperties>
</file>