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86AF" w14:textId="77777777" w:rsidR="0042739D" w:rsidRPr="0042739D" w:rsidRDefault="0042739D" w:rsidP="0042739D">
      <w:pPr>
        <w:pStyle w:val="Normal1"/>
        <w:spacing w:before="120" w:after="0"/>
        <w:rPr>
          <w:rFonts w:asciiTheme="minorHAnsi" w:hAnsiTheme="minorHAnsi" w:cstheme="minorHAnsi"/>
          <w:b/>
        </w:rPr>
      </w:pPr>
    </w:p>
    <w:tbl>
      <w:tblPr>
        <w:tblW w:w="11154" w:type="dxa"/>
        <w:tblInd w:w="-4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20" w:firstRow="1" w:lastRow="0" w:firstColumn="0" w:lastColumn="0" w:noHBand="0" w:noVBand="1"/>
      </w:tblPr>
      <w:tblGrid>
        <w:gridCol w:w="5577"/>
        <w:gridCol w:w="5577"/>
      </w:tblGrid>
      <w:tr w:rsidR="0042739D" w:rsidRPr="0042739D" w14:paraId="29CD53C8" w14:textId="77777777">
        <w:trPr>
          <w:trHeight w:val="481"/>
        </w:trPr>
        <w:tc>
          <w:tcPr>
            <w:tcW w:w="5577" w:type="dxa"/>
          </w:tcPr>
          <w:p w14:paraId="6875D00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  </w:t>
            </w:r>
            <w:r w:rsidRPr="0042739D">
              <w:rPr>
                <w:rFonts w:asciiTheme="minorHAnsi" w:hAnsiTheme="minorHAnsi"/>
                <w:b/>
              </w:rPr>
              <w:t>FOR IMMEDIATE RELEASE</w:t>
            </w:r>
          </w:p>
        </w:tc>
        <w:tc>
          <w:tcPr>
            <w:tcW w:w="5577" w:type="dxa"/>
          </w:tcPr>
          <w:p w14:paraId="0ABA57F7" w14:textId="2CB705AE" w:rsidR="0042739D" w:rsidRPr="0042739D" w:rsidRDefault="0042739D" w:rsidP="00EF4A08">
            <w:pPr>
              <w:pStyle w:val="Normal1"/>
              <w:spacing w:before="240" w:after="0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CONTACT:  </w:t>
            </w:r>
            <w:r>
              <w:rPr>
                <w:rFonts w:asciiTheme="minorHAnsi" w:hAnsiTheme="minorHAnsi"/>
              </w:rPr>
              <w:t xml:space="preserve">     </w:t>
            </w:r>
            <w:r w:rsidR="00EF4A08">
              <w:rPr>
                <w:rFonts w:asciiTheme="minorHAnsi" w:hAnsiTheme="minorHAnsi"/>
              </w:rPr>
              <w:t>Andrew Rogers</w:t>
            </w:r>
          </w:p>
        </w:tc>
      </w:tr>
      <w:tr w:rsidR="0042739D" w:rsidRPr="0042739D" w14:paraId="1E39791C" w14:textId="77777777">
        <w:trPr>
          <w:trHeight w:val="35"/>
        </w:trPr>
        <w:tc>
          <w:tcPr>
            <w:tcW w:w="5577" w:type="dxa"/>
          </w:tcPr>
          <w:p w14:paraId="4513EA36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280CE931" w14:textId="4420B2DD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r w:rsidR="00EF4A08">
              <w:rPr>
                <w:rFonts w:asciiTheme="minorHAnsi" w:hAnsiTheme="minorHAnsi" w:cs="Arial"/>
              </w:rPr>
              <w:t>(913) 203-2927</w:t>
            </w:r>
          </w:p>
          <w:p w14:paraId="415969B7" w14:textId="3788F2D0" w:rsidR="0042739D" w:rsidRPr="0042739D" w:rsidRDefault="0042739D" w:rsidP="00EF4A08">
            <w:pPr>
              <w:pStyle w:val="Normal1"/>
              <w:spacing w:after="0"/>
              <w:ind w:left="1332"/>
              <w:rPr>
                <w:rFonts w:asciiTheme="minorHAnsi" w:hAnsiTheme="minorHAnsi"/>
              </w:rPr>
            </w:pPr>
            <w:r w:rsidRPr="0042739D">
              <w:rPr>
                <w:rFonts w:asciiTheme="minorHAnsi" w:hAnsiTheme="minorHAnsi"/>
              </w:rPr>
              <w:t xml:space="preserve"> </w:t>
            </w:r>
            <w:hyperlink r:id="rId7" w:history="1">
              <w:r w:rsidR="00EF4A08" w:rsidRPr="001F40BA">
                <w:rPr>
                  <w:rStyle w:val="Hyperlink"/>
                  <w:rFonts w:asciiTheme="minorHAnsi" w:hAnsiTheme="minorHAnsi" w:cs="Arial"/>
                </w:rPr>
                <w:t>andrew.rogers@spx.com</w:t>
              </w:r>
            </w:hyperlink>
            <w:r w:rsidR="00EF4A08">
              <w:rPr>
                <w:rStyle w:val="Hyperlink"/>
                <w:rFonts w:asciiTheme="minorHAnsi" w:hAnsiTheme="minorHAnsi" w:cs="Arial"/>
              </w:rPr>
              <w:t xml:space="preserve"> </w:t>
            </w:r>
          </w:p>
        </w:tc>
      </w:tr>
      <w:tr w:rsidR="0042739D" w:rsidRPr="0042739D" w14:paraId="74940982" w14:textId="77777777">
        <w:trPr>
          <w:trHeight w:val="35"/>
        </w:trPr>
        <w:tc>
          <w:tcPr>
            <w:tcW w:w="5577" w:type="dxa"/>
          </w:tcPr>
          <w:p w14:paraId="1DE7E2AB" w14:textId="77777777" w:rsidR="0042739D" w:rsidRPr="0042739D" w:rsidRDefault="0042739D" w:rsidP="001E6F33">
            <w:pPr>
              <w:pStyle w:val="Normal1"/>
              <w:spacing w:before="240" w:after="0"/>
              <w:rPr>
                <w:rFonts w:asciiTheme="minorHAnsi" w:hAnsiTheme="minorHAnsi"/>
              </w:rPr>
            </w:pPr>
          </w:p>
        </w:tc>
        <w:tc>
          <w:tcPr>
            <w:tcW w:w="5577" w:type="dxa"/>
          </w:tcPr>
          <w:p w14:paraId="63EF7623" w14:textId="77777777" w:rsidR="0042739D" w:rsidRPr="0042739D" w:rsidRDefault="0042739D" w:rsidP="001E6F33">
            <w:pPr>
              <w:pStyle w:val="Normal1"/>
              <w:keepNext/>
              <w:spacing w:after="0"/>
              <w:ind w:left="1332"/>
              <w:rPr>
                <w:rFonts w:asciiTheme="minorHAnsi" w:hAnsiTheme="minorHAnsi"/>
              </w:rPr>
            </w:pPr>
          </w:p>
        </w:tc>
      </w:tr>
    </w:tbl>
    <w:p w14:paraId="43C6ACE7" w14:textId="77777777" w:rsidR="009D438D" w:rsidRDefault="009D438D" w:rsidP="009D438D">
      <w:pPr>
        <w:pStyle w:val="Normal1"/>
        <w:spacing w:before="120" w:after="240"/>
        <w:jc w:val="center"/>
        <w:rPr>
          <w:rFonts w:asciiTheme="minorHAnsi" w:hAnsiTheme="minorHAnsi" w:cstheme="minorHAnsi"/>
          <w:b/>
        </w:rPr>
      </w:pPr>
      <w:r w:rsidRPr="00A40D2D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 xml:space="preserve">Marley® MH Fluid Cooler Models Broaden Application </w:t>
      </w:r>
      <w:proofErr w:type="gramStart"/>
      <w:r>
        <w:rPr>
          <w:rFonts w:asciiTheme="minorHAnsi" w:hAnsiTheme="minorHAnsi" w:cstheme="minorHAnsi"/>
          <w:b/>
        </w:rPr>
        <w:t>Flexibility</w:t>
      </w:r>
      <w:r w:rsidRPr="00A40D2D">
        <w:rPr>
          <w:rFonts w:asciiTheme="minorHAnsi" w:hAnsiTheme="minorHAnsi" w:cstheme="minorHAnsi"/>
          <w:b/>
        </w:rPr>
        <w:t xml:space="preserve">  </w:t>
      </w:r>
      <w:bookmarkStart w:id="0" w:name="h.gjdgxs" w:colFirst="0" w:colLast="0"/>
      <w:bookmarkEnd w:id="0"/>
      <w:proofErr w:type="gramEnd"/>
      <w:r w:rsidRPr="00A40D2D">
        <w:rPr>
          <w:rFonts w:asciiTheme="minorHAnsi" w:hAnsiTheme="minorHAnsi" w:cstheme="minorHAnsi"/>
          <w:b/>
        </w:rPr>
        <w:br/>
      </w:r>
      <w:r w:rsidRPr="00213E40">
        <w:rPr>
          <w:rFonts w:asciiTheme="minorHAnsi" w:hAnsiTheme="minorHAnsi" w:cstheme="minorHAnsi"/>
          <w:bCs/>
          <w:i/>
          <w:iCs/>
        </w:rPr>
        <w:t xml:space="preserve">Choice of </w:t>
      </w:r>
      <w:r>
        <w:rPr>
          <w:rFonts w:asciiTheme="minorHAnsi" w:hAnsiTheme="minorHAnsi" w:cstheme="minorHAnsi"/>
          <w:bCs/>
          <w:i/>
          <w:iCs/>
        </w:rPr>
        <w:t>copper, HDG steel and stainless</w:t>
      </w:r>
      <w:r w:rsidRPr="00213E40">
        <w:rPr>
          <w:rFonts w:asciiTheme="minorHAnsi" w:hAnsiTheme="minorHAnsi" w:cstheme="minorHAnsi"/>
          <w:bCs/>
          <w:i/>
          <w:iCs/>
        </w:rPr>
        <w:t xml:space="preserve"> coil</w:t>
      </w:r>
      <w:r>
        <w:rPr>
          <w:rFonts w:asciiTheme="minorHAnsi" w:hAnsiTheme="minorHAnsi" w:cstheme="minorHAnsi"/>
          <w:bCs/>
          <w:i/>
          <w:iCs/>
        </w:rPr>
        <w:t xml:space="preserve">s provide CTI certified performance </w:t>
      </w:r>
      <w:r>
        <w:rPr>
          <w:rFonts w:asciiTheme="minorHAnsi" w:hAnsiTheme="minorHAnsi" w:cstheme="minorHAnsi"/>
          <w:bCs/>
          <w:i/>
          <w:iCs/>
        </w:rPr>
        <w:br/>
        <w:t>in HVAC and industrial applications</w:t>
      </w:r>
      <w:r w:rsidRPr="00A40D2D">
        <w:rPr>
          <w:rFonts w:asciiTheme="minorHAnsi" w:hAnsiTheme="minorHAnsi" w:cstheme="minorHAnsi"/>
          <w:b/>
        </w:rPr>
        <w:t xml:space="preserve"> </w:t>
      </w:r>
    </w:p>
    <w:p w14:paraId="37E3F568" w14:textId="77777777" w:rsidR="009D438D" w:rsidRPr="009D438D" w:rsidRDefault="009D438D" w:rsidP="009D438D">
      <w:pPr>
        <w:pStyle w:val="Normal1"/>
        <w:rPr>
          <w:rFonts w:asciiTheme="minorHAnsi" w:hAnsiTheme="minorHAnsi" w:cstheme="minorHAnsi"/>
        </w:rPr>
      </w:pPr>
      <w:r w:rsidRPr="00A40D2D">
        <w:rPr>
          <w:rFonts w:asciiTheme="minorHAnsi" w:hAnsiTheme="minorHAnsi" w:cstheme="minorHAnsi"/>
          <w:b/>
        </w:rPr>
        <w:t>Overland Park, Kan.</w:t>
      </w:r>
      <w:r w:rsidRPr="00A40D2D">
        <w:rPr>
          <w:rFonts w:asciiTheme="minorHAnsi" w:hAnsiTheme="minorHAnsi" w:cstheme="minorHAnsi"/>
        </w:rPr>
        <w:t xml:space="preserve"> – </w:t>
      </w:r>
      <w:r w:rsidRPr="009D438D">
        <w:rPr>
          <w:rFonts w:asciiTheme="minorHAnsi" w:hAnsiTheme="minorHAnsi" w:cstheme="minorHAnsi"/>
        </w:rPr>
        <w:t xml:space="preserve">SPX Cooling Tech, LLC has released details of its expanded </w:t>
      </w:r>
      <w:hyperlink r:id="rId8" w:history="1">
        <w:r w:rsidRPr="009D438D">
          <w:rPr>
            <w:rStyle w:val="Hyperlink"/>
            <w:rFonts w:asciiTheme="minorHAnsi" w:hAnsiTheme="minorHAnsi" w:cstheme="minorHAnsi"/>
          </w:rPr>
          <w:t>MH Fluid Cooler</w:t>
        </w:r>
      </w:hyperlink>
      <w:r w:rsidRPr="009D438D">
        <w:rPr>
          <w:rFonts w:asciiTheme="minorHAnsi" w:hAnsiTheme="minorHAnsi" w:cstheme="minorHAnsi"/>
        </w:rPr>
        <w:t xml:space="preserve"> line, designed to meet an even more diverse range of applications. The MH Fluid Cooler is now available with three coil materials, each delivering its own advantages.</w:t>
      </w:r>
    </w:p>
    <w:p w14:paraId="3F4A684E" w14:textId="77777777" w:rsidR="009D438D" w:rsidRPr="009D438D" w:rsidRDefault="009D438D" w:rsidP="009D438D">
      <w:pPr>
        <w:pStyle w:val="Normal1"/>
        <w:rPr>
          <w:rFonts w:asciiTheme="minorHAnsi" w:hAnsiTheme="minorHAnsi" w:cstheme="minorHAnsi"/>
        </w:rPr>
      </w:pPr>
      <w:r w:rsidRPr="009D438D">
        <w:rPr>
          <w:rFonts w:asciiTheme="minorHAnsi" w:hAnsiTheme="minorHAnsi" w:cstheme="minorHAnsi"/>
        </w:rPr>
        <w:t xml:space="preserve">The most recent innovation, the MH </w:t>
      </w:r>
      <w:proofErr w:type="spellStart"/>
      <w:r w:rsidRPr="009D438D">
        <w:rPr>
          <w:rFonts w:asciiTheme="minorHAnsi" w:hAnsiTheme="minorHAnsi" w:cstheme="minorHAnsi"/>
        </w:rPr>
        <w:t>Element</w:t>
      </w:r>
      <w:r w:rsidRPr="009D438D">
        <w:rPr>
          <w:rFonts w:asciiTheme="minorHAnsi" w:hAnsiTheme="minorHAnsi" w:cstheme="minorHAnsi"/>
          <w:vertAlign w:val="superscript"/>
        </w:rPr>
        <w:t>TM</w:t>
      </w:r>
      <w:proofErr w:type="spellEnd"/>
      <w:r w:rsidRPr="009D438D">
        <w:rPr>
          <w:rFonts w:asciiTheme="minorHAnsi" w:hAnsiTheme="minorHAnsi" w:cstheme="minorHAnsi"/>
        </w:rPr>
        <w:t xml:space="preserve"> Fluid Cooler, is equipped with copper coils. Copper offers superior corrosion resistance and improved heat transfer. Compared with traditional hot-dip galvanized (HDG) coil fluid coolers, the copper coil requires 35 percent less fluid volume, and cooler operating weight is reduced by 20 percent. Copper is also sustainable, with a high recycle value at the end of its operational life. </w:t>
      </w:r>
    </w:p>
    <w:p w14:paraId="249043CA" w14:textId="77777777" w:rsidR="009D438D" w:rsidRPr="009D438D" w:rsidRDefault="009D438D" w:rsidP="009D438D">
      <w:pPr>
        <w:pStyle w:val="Normal1"/>
        <w:rPr>
          <w:rFonts w:asciiTheme="minorHAnsi" w:hAnsiTheme="minorHAnsi" w:cstheme="minorHAnsi"/>
        </w:rPr>
      </w:pPr>
      <w:r w:rsidRPr="009D438D">
        <w:rPr>
          <w:rFonts w:asciiTheme="minorHAnsi" w:hAnsiTheme="minorHAnsi" w:cstheme="minorHAnsi"/>
        </w:rPr>
        <w:t xml:space="preserve">Other MH Fluid Coolers are available with coils of either HDG steel or stainless steel. HDG steel offers good thermal performance in a closed and pressurized system. Models with stainless steel coils require more surface area and are often utilized in coastal regions and applications prone to corrosion. </w:t>
      </w:r>
    </w:p>
    <w:p w14:paraId="4D8572D9" w14:textId="77777777" w:rsidR="009D438D" w:rsidRPr="009D438D" w:rsidRDefault="009D438D" w:rsidP="009D438D">
      <w:pPr>
        <w:pStyle w:val="Normal1"/>
        <w:rPr>
          <w:rFonts w:asciiTheme="minorHAnsi" w:hAnsiTheme="minorHAnsi" w:cstheme="minorHAnsi"/>
        </w:rPr>
      </w:pPr>
      <w:r w:rsidRPr="009D438D">
        <w:rPr>
          <w:rStyle w:val="A2"/>
          <w:rFonts w:asciiTheme="minorHAnsi" w:hAnsiTheme="minorHAnsi" w:cstheme="minorHAnsi"/>
          <w:sz w:val="24"/>
          <w:szCs w:val="24"/>
        </w:rPr>
        <w:t xml:space="preserve">One of the most efficient closed-circuit cooling towers in its class, the </w:t>
      </w:r>
      <w:r w:rsidRPr="009D438D">
        <w:rPr>
          <w:rFonts w:asciiTheme="minorHAnsi" w:hAnsiTheme="minorHAnsi" w:cstheme="minorHAnsi"/>
        </w:rPr>
        <w:t xml:space="preserve">MH Fluid Cooler is a hybrid system that combines the functionality of a cooling tower and a heat exchanger. Utilizing a combination of evaporative fill media and prime surface coils, the MH Fluid Cooler offers significantly improved performance over conventional non-hybrid systems. Compared to forced-draft products with comparable footprint, its proprietary </w:t>
      </w:r>
      <w:proofErr w:type="spellStart"/>
      <w:r w:rsidRPr="009D438D">
        <w:rPr>
          <w:rFonts w:asciiTheme="minorHAnsi" w:hAnsiTheme="minorHAnsi" w:cstheme="minorHAnsi"/>
        </w:rPr>
        <w:t>CoolBoost</w:t>
      </w:r>
      <w:proofErr w:type="spellEnd"/>
      <w:r w:rsidRPr="009D438D">
        <w:rPr>
          <w:rFonts w:asciiTheme="minorHAnsi" w:hAnsiTheme="minorHAnsi" w:cstheme="minorHAnsi"/>
        </w:rPr>
        <w:t>™ technology uses up to 75 percent less fan energy, requires up to 35% less process fluid, and reduces operating weight by 15 percent or more.</w:t>
      </w:r>
    </w:p>
    <w:p w14:paraId="1393E034" w14:textId="77777777" w:rsidR="009D438D" w:rsidRPr="009D438D" w:rsidRDefault="009D438D" w:rsidP="009D438D">
      <w:pPr>
        <w:pStyle w:val="Normal1"/>
        <w:rPr>
          <w:rStyle w:val="A2"/>
          <w:rFonts w:asciiTheme="minorHAnsi" w:hAnsiTheme="minorHAnsi" w:cstheme="minorHAnsi"/>
          <w:sz w:val="24"/>
          <w:szCs w:val="24"/>
        </w:rPr>
      </w:pPr>
      <w:r w:rsidRPr="009D438D">
        <w:rPr>
          <w:rStyle w:val="A2"/>
          <w:rFonts w:asciiTheme="minorHAnsi" w:hAnsiTheme="minorHAnsi" w:cstheme="minorHAnsi"/>
          <w:sz w:val="24"/>
          <w:szCs w:val="24"/>
        </w:rPr>
        <w:t xml:space="preserve">HVAC applications include water source heat pumps, water-cooled VRF (variable refrigerant flow), geothermal heat pumps, and chillers. </w:t>
      </w:r>
      <w:r w:rsidRPr="009D438D">
        <w:rPr>
          <w:rFonts w:asciiTheme="minorHAnsi" w:hAnsiTheme="minorHAnsi" w:cstheme="minorHAnsi"/>
        </w:rPr>
        <w:t>Industrial process cooling uses include water-cooled air compressors, injection molding machines, induction furnaces, and other machine or jacket cooling. </w:t>
      </w:r>
    </w:p>
    <w:p w14:paraId="3F8B865F" w14:textId="77777777" w:rsidR="009D438D" w:rsidRDefault="009D438D" w:rsidP="009D438D">
      <w:pPr>
        <w:pStyle w:val="Normal1"/>
        <w:rPr>
          <w:rFonts w:asciiTheme="minorHAnsi" w:hAnsiTheme="minorHAnsi" w:cstheme="minorHAnsi"/>
        </w:rPr>
      </w:pPr>
      <w:r w:rsidRPr="009D438D">
        <w:rPr>
          <w:rStyle w:val="A2"/>
          <w:rFonts w:asciiTheme="minorHAnsi" w:hAnsiTheme="minorHAnsi" w:cstheme="minorHAnsi"/>
          <w:sz w:val="24"/>
          <w:szCs w:val="24"/>
        </w:rPr>
        <w:t>T</w:t>
      </w:r>
      <w:r w:rsidRPr="009D438D">
        <w:rPr>
          <w:rStyle w:val="A1"/>
          <w:rFonts w:asciiTheme="minorHAnsi" w:hAnsiTheme="minorHAnsi" w:cstheme="minorHAnsi"/>
          <w:sz w:val="24"/>
          <w:szCs w:val="24"/>
        </w:rPr>
        <w:t>hermal capacities of all standard MH Fluid Coolers are independently certified by the Cooling Technology Institute (CTI) for performance with water, ethylene glycol solutions, and propylene glycol solutions.</w:t>
      </w:r>
      <w:r w:rsidRPr="009D438D">
        <w:rPr>
          <w:rFonts w:asciiTheme="minorHAnsi" w:hAnsiTheme="minorHAnsi" w:cstheme="minorHAnsi"/>
        </w:rPr>
        <w:t xml:space="preserve"> The </w:t>
      </w:r>
      <w:r w:rsidRPr="009D438D">
        <w:rPr>
          <w:rStyle w:val="A1"/>
          <w:rFonts w:asciiTheme="minorHAnsi" w:hAnsiTheme="minorHAnsi" w:cstheme="minorHAnsi"/>
          <w:sz w:val="24"/>
          <w:szCs w:val="24"/>
        </w:rPr>
        <w:t>MH Fluid Cooler is backed by SPX Cooling Technologies’ five-year mechanical warranty and</w:t>
      </w:r>
      <w:r w:rsidRPr="009D438D">
        <w:rPr>
          <w:rFonts w:asciiTheme="minorHAnsi" w:hAnsiTheme="minorHAnsi" w:cstheme="minorHAnsi"/>
        </w:rPr>
        <w:t xml:space="preserve"> energy efficiencies that exceed ASH</w:t>
      </w:r>
      <w:r>
        <w:rPr>
          <w:rFonts w:asciiTheme="minorHAnsi" w:hAnsiTheme="minorHAnsi" w:cstheme="minorHAnsi"/>
        </w:rPr>
        <w:t xml:space="preserve">RAE Standard 90.1 requirements. </w:t>
      </w:r>
    </w:p>
    <w:p w14:paraId="26B5F997" w14:textId="51157738" w:rsidR="009D438D" w:rsidRPr="00A40D2D" w:rsidRDefault="009D438D" w:rsidP="009D438D">
      <w:pPr>
        <w:pStyle w:val="Normal1"/>
        <w:rPr>
          <w:rFonts w:asciiTheme="minorHAnsi" w:hAnsiTheme="minorHAnsi" w:cstheme="minorHAnsi"/>
        </w:rPr>
      </w:pPr>
      <w:bookmarkStart w:id="1" w:name="_GoBack"/>
      <w:bookmarkEnd w:id="1"/>
      <w:r w:rsidRPr="00A40D2D">
        <w:rPr>
          <w:rFonts w:asciiTheme="minorHAnsi" w:hAnsiTheme="minorHAnsi" w:cstheme="minorHAnsi"/>
        </w:rPr>
        <w:t xml:space="preserve">For more information, visit </w:t>
      </w:r>
      <w:hyperlink r:id="rId9" w:history="1">
        <w:r w:rsidRPr="00A40D2D">
          <w:rPr>
            <w:rStyle w:val="Hyperlink"/>
            <w:rFonts w:asciiTheme="minorHAnsi" w:hAnsiTheme="minorHAnsi" w:cstheme="minorHAnsi"/>
          </w:rPr>
          <w:t>https://spxcooling.com/library/marley-mh-fluid-cooler/</w:t>
        </w:r>
      </w:hyperlink>
      <w:r>
        <w:rPr>
          <w:rStyle w:val="Hyperlink"/>
          <w:rFonts w:asciiTheme="minorHAnsi" w:hAnsiTheme="minorHAnsi" w:cstheme="minorHAnsi"/>
        </w:rPr>
        <w:t>.</w:t>
      </w:r>
    </w:p>
    <w:p w14:paraId="2E34E6A1" w14:textId="77777777" w:rsidR="009D438D" w:rsidRPr="00A40D2D" w:rsidRDefault="009D438D" w:rsidP="009D438D">
      <w:pPr>
        <w:pStyle w:val="Normal1"/>
        <w:rPr>
          <w:rFonts w:asciiTheme="minorHAnsi" w:hAnsiTheme="minorHAnsi" w:cstheme="minorHAnsi"/>
        </w:rPr>
      </w:pPr>
    </w:p>
    <w:p w14:paraId="3E8080FC" w14:textId="77777777" w:rsidR="009D438D" w:rsidRPr="00A40D2D" w:rsidRDefault="009D438D" w:rsidP="009D438D">
      <w:pPr>
        <w:pStyle w:val="Normal1"/>
        <w:jc w:val="center"/>
        <w:rPr>
          <w:rFonts w:asciiTheme="minorHAnsi" w:hAnsiTheme="minorHAnsi" w:cstheme="minorHAnsi"/>
        </w:rPr>
      </w:pPr>
      <w:r w:rsidRPr="00A40D2D">
        <w:rPr>
          <w:rFonts w:asciiTheme="minorHAnsi" w:hAnsiTheme="minorHAnsi" w:cstheme="minorHAnsi"/>
        </w:rPr>
        <w:lastRenderedPageBreak/>
        <w:t>###</w:t>
      </w:r>
    </w:p>
    <w:p w14:paraId="62E11CDC" w14:textId="77777777" w:rsidR="009D438D" w:rsidRPr="00A40D2D" w:rsidRDefault="009D438D" w:rsidP="009D438D">
      <w:pPr>
        <w:spacing w:before="100" w:beforeAutospacing="1"/>
        <w:rPr>
          <w:rFonts w:asciiTheme="minorHAnsi" w:hAnsiTheme="minorHAnsi" w:cstheme="minorHAnsi"/>
          <w:b/>
          <w:color w:val="auto"/>
        </w:rPr>
      </w:pPr>
      <w:r w:rsidRPr="00A40D2D">
        <w:rPr>
          <w:rFonts w:asciiTheme="minorHAnsi" w:hAnsiTheme="minorHAnsi" w:cstheme="minorHAnsi"/>
          <w:b/>
          <w:color w:val="auto"/>
        </w:rPr>
        <w:t>About SPX Cooling Tech</w:t>
      </w:r>
      <w:r>
        <w:rPr>
          <w:rFonts w:asciiTheme="minorHAnsi" w:hAnsiTheme="minorHAnsi" w:cstheme="minorHAnsi"/>
          <w:b/>
          <w:color w:val="auto"/>
        </w:rPr>
        <w:t>, LLC</w:t>
      </w:r>
      <w:r w:rsidRPr="00A40D2D">
        <w:rPr>
          <w:rFonts w:asciiTheme="minorHAnsi" w:hAnsiTheme="minorHAnsi" w:cstheme="minorHAnsi"/>
          <w:b/>
          <w:color w:val="auto"/>
        </w:rPr>
        <w:t>:</w:t>
      </w:r>
    </w:p>
    <w:p w14:paraId="711D118A" w14:textId="77777777" w:rsidR="009D438D" w:rsidRPr="00A40D2D" w:rsidRDefault="009D438D" w:rsidP="009D438D">
      <w:pPr>
        <w:spacing w:before="100" w:beforeAutospacing="1"/>
        <w:rPr>
          <w:rFonts w:asciiTheme="minorHAnsi" w:hAnsiTheme="minorHAnsi" w:cstheme="minorHAnsi"/>
          <w:color w:val="auto"/>
        </w:rPr>
      </w:pPr>
      <w:r w:rsidRPr="00A40D2D">
        <w:rPr>
          <w:rFonts w:asciiTheme="minorHAnsi" w:hAnsiTheme="minorHAnsi" w:cstheme="minorHAnsi"/>
          <w:color w:val="auto"/>
        </w:rPr>
        <w:t xml:space="preserve">SPX Cooling </w:t>
      </w:r>
      <w:r>
        <w:rPr>
          <w:rFonts w:asciiTheme="minorHAnsi" w:hAnsiTheme="minorHAnsi" w:cstheme="minorHAnsi"/>
          <w:color w:val="auto"/>
        </w:rPr>
        <w:t>Tech</w:t>
      </w:r>
      <w:r w:rsidRPr="00A40D2D">
        <w:rPr>
          <w:rFonts w:asciiTheme="minorHAnsi" w:hAnsiTheme="minorHAnsi" w:cstheme="minorHAnsi"/>
          <w:color w:val="auto"/>
        </w:rPr>
        <w:t xml:space="preserve"> is a leading global manufacturer of cooling towers, evaporative fluid coolers, evaporative condensers, industrial evaporators and air-cooled heat exchangers providing full-service cooling solutions, components and technical support for heating, ventilation and air conditioning (HVAC), refrigeration, </w:t>
      </w:r>
      <w:r>
        <w:rPr>
          <w:rFonts w:asciiTheme="minorHAnsi" w:hAnsiTheme="minorHAnsi" w:cstheme="minorHAnsi"/>
          <w:color w:val="auto"/>
        </w:rPr>
        <w:t xml:space="preserve">and </w:t>
      </w:r>
      <w:r w:rsidRPr="00A40D2D">
        <w:rPr>
          <w:rFonts w:asciiTheme="minorHAnsi" w:hAnsiTheme="minorHAnsi" w:cstheme="minorHAnsi"/>
          <w:color w:val="auto"/>
        </w:rPr>
        <w:t>industrial process cooling applic</w:t>
      </w:r>
      <w:r>
        <w:rPr>
          <w:rFonts w:asciiTheme="minorHAnsi" w:hAnsiTheme="minorHAnsi" w:cstheme="minorHAnsi"/>
          <w:color w:val="auto"/>
        </w:rPr>
        <w:t>ations. SPX Cooling Tech</w:t>
      </w:r>
      <w:r w:rsidRPr="00A40D2D">
        <w:rPr>
          <w:rFonts w:asciiTheme="minorHAnsi" w:hAnsiTheme="minorHAnsi" w:cstheme="minorHAnsi"/>
          <w:color w:val="auto"/>
        </w:rPr>
        <w:t xml:space="preserve"> and its product brands are part of SPX </w:t>
      </w:r>
      <w:r>
        <w:rPr>
          <w:rFonts w:asciiTheme="minorHAnsi" w:hAnsiTheme="minorHAnsi" w:cstheme="minorHAnsi"/>
          <w:color w:val="auto"/>
        </w:rPr>
        <w:t>Technologies, Inc</w:t>
      </w:r>
      <w:r w:rsidRPr="00A40D2D">
        <w:rPr>
          <w:rFonts w:asciiTheme="minorHAnsi" w:hAnsiTheme="minorHAnsi" w:cstheme="minorHAnsi"/>
          <w:color w:val="auto"/>
        </w:rPr>
        <w:t xml:space="preserve">. For more information, please visit </w:t>
      </w:r>
      <w:hyperlink r:id="rId10" w:history="1">
        <w:r w:rsidRPr="00A40D2D">
          <w:rPr>
            <w:rStyle w:val="Hyperlink"/>
            <w:rFonts w:asciiTheme="minorHAnsi" w:hAnsiTheme="minorHAnsi" w:cstheme="minorHAnsi"/>
          </w:rPr>
          <w:t>www.spxcooling.com</w:t>
        </w:r>
      </w:hyperlink>
      <w:r w:rsidRPr="00A40D2D">
        <w:rPr>
          <w:rFonts w:asciiTheme="minorHAnsi" w:hAnsiTheme="minorHAnsi" w:cstheme="minorHAnsi"/>
          <w:color w:val="auto"/>
        </w:rPr>
        <w:t>.</w:t>
      </w:r>
    </w:p>
    <w:p w14:paraId="0336D160" w14:textId="77777777" w:rsidR="009D438D" w:rsidRPr="00A40D2D" w:rsidRDefault="009D438D" w:rsidP="009D438D">
      <w:pPr>
        <w:pStyle w:val="Normal1"/>
        <w:rPr>
          <w:rFonts w:asciiTheme="minorHAnsi" w:hAnsiTheme="minorHAnsi" w:cstheme="minorHAnsi"/>
        </w:rPr>
      </w:pPr>
      <w:r w:rsidRPr="00A40D2D">
        <w:rPr>
          <w:rFonts w:asciiTheme="minorHAnsi" w:hAnsiTheme="minorHAnsi" w:cstheme="minorHAnsi"/>
          <w:b/>
          <w:color w:val="auto"/>
        </w:rPr>
        <w:br/>
        <w:t xml:space="preserve">About SPX </w:t>
      </w:r>
      <w:r>
        <w:rPr>
          <w:rFonts w:asciiTheme="minorHAnsi" w:hAnsiTheme="minorHAnsi" w:cstheme="minorHAnsi"/>
          <w:b/>
          <w:color w:val="auto"/>
        </w:rPr>
        <w:t>Technologies, Inc.</w:t>
      </w:r>
      <w:proofErr w:type="gramStart"/>
      <w:r w:rsidRPr="00A40D2D">
        <w:rPr>
          <w:rFonts w:asciiTheme="minorHAnsi" w:hAnsiTheme="minorHAnsi" w:cstheme="minorHAnsi"/>
          <w:b/>
          <w:color w:val="auto"/>
        </w:rPr>
        <w:t>:</w:t>
      </w:r>
      <w:proofErr w:type="gramEnd"/>
      <w:r w:rsidRPr="00A40D2D">
        <w:rPr>
          <w:rFonts w:asciiTheme="minorHAnsi" w:hAnsiTheme="minorHAnsi" w:cstheme="minorHAnsi"/>
          <w:b/>
          <w:color w:val="auto"/>
        </w:rPr>
        <w:br/>
      </w:r>
      <w:r w:rsidRPr="00A40D2D">
        <w:rPr>
          <w:rFonts w:asciiTheme="minorHAnsi" w:hAnsiTheme="minorHAnsi" w:cstheme="minorHAnsi"/>
          <w:b/>
          <w:color w:val="auto"/>
        </w:rPr>
        <w:br/>
      </w:r>
      <w:r>
        <w:rPr>
          <w:rFonts w:asciiTheme="minorHAnsi" w:hAnsiTheme="minorHAnsi" w:cstheme="minorHAnsi"/>
        </w:rPr>
        <w:t>SPX Technologies, Inc.</w:t>
      </w:r>
      <w:r w:rsidRPr="00A40D2D">
        <w:rPr>
          <w:rFonts w:asciiTheme="minorHAnsi" w:hAnsiTheme="minorHAnsi" w:cstheme="minorHAnsi"/>
        </w:rPr>
        <w:t xml:space="preserve"> is a supplier of highly engineered products and technologies, holding leadership positions in the HVAC, detection and measurement, and engineered solutions markets. Based in Charlotte, North Carolina, SPX </w:t>
      </w:r>
      <w:r>
        <w:rPr>
          <w:rFonts w:asciiTheme="minorHAnsi" w:hAnsiTheme="minorHAnsi" w:cstheme="minorHAnsi"/>
        </w:rPr>
        <w:t>Technologies</w:t>
      </w:r>
      <w:r w:rsidRPr="00A40D2D">
        <w:rPr>
          <w:rFonts w:asciiTheme="minorHAnsi" w:hAnsiTheme="minorHAnsi" w:cstheme="minorHAnsi"/>
        </w:rPr>
        <w:t xml:space="preserve"> had approximately $1.</w:t>
      </w:r>
      <w:r>
        <w:rPr>
          <w:rFonts w:asciiTheme="minorHAnsi" w:hAnsiTheme="minorHAnsi" w:cstheme="minorHAnsi"/>
        </w:rPr>
        <w:t>6</w:t>
      </w:r>
      <w:r w:rsidRPr="00A40D2D">
        <w:rPr>
          <w:rFonts w:asciiTheme="minorHAnsi" w:hAnsiTheme="minorHAnsi" w:cstheme="minorHAnsi"/>
        </w:rPr>
        <w:t xml:space="preserve"> billion in annual revenue in 20</w:t>
      </w:r>
      <w:r>
        <w:rPr>
          <w:rFonts w:asciiTheme="minorHAnsi" w:hAnsiTheme="minorHAnsi" w:cstheme="minorHAnsi"/>
        </w:rPr>
        <w:t>20</w:t>
      </w:r>
      <w:r w:rsidRPr="00A40D2D">
        <w:rPr>
          <w:rFonts w:asciiTheme="minorHAnsi" w:hAnsiTheme="minorHAnsi" w:cstheme="minorHAnsi"/>
        </w:rPr>
        <w:t xml:space="preserve"> and over 4,500 employees in 1</w:t>
      </w:r>
      <w:r>
        <w:rPr>
          <w:rFonts w:asciiTheme="minorHAnsi" w:hAnsiTheme="minorHAnsi" w:cstheme="minorHAnsi"/>
        </w:rPr>
        <w:t>5</w:t>
      </w:r>
      <w:r w:rsidRPr="00A40D2D">
        <w:rPr>
          <w:rFonts w:asciiTheme="minorHAnsi" w:hAnsiTheme="minorHAnsi" w:cstheme="minorHAnsi"/>
        </w:rPr>
        <w:t xml:space="preserve"> countries. SPX </w:t>
      </w:r>
      <w:r>
        <w:rPr>
          <w:rFonts w:asciiTheme="minorHAnsi" w:hAnsiTheme="minorHAnsi" w:cstheme="minorHAnsi"/>
        </w:rPr>
        <w:t>Technologies</w:t>
      </w:r>
      <w:r w:rsidRPr="00A40D2D">
        <w:rPr>
          <w:rFonts w:asciiTheme="minorHAnsi" w:hAnsiTheme="minorHAnsi" w:cstheme="minorHAnsi"/>
        </w:rPr>
        <w:t xml:space="preserve"> is listed on the New York Stock Exchange under the ticker symbol “SPXC.” For more information, visit </w:t>
      </w:r>
      <w:hyperlink r:id="rId11" w:history="1">
        <w:r w:rsidRPr="00A40D2D">
          <w:rPr>
            <w:rStyle w:val="Hyperlink"/>
            <w:rFonts w:asciiTheme="minorHAnsi" w:hAnsiTheme="minorHAnsi" w:cstheme="minorHAnsi"/>
          </w:rPr>
          <w:t>www.spx.com</w:t>
        </w:r>
      </w:hyperlink>
      <w:r w:rsidRPr="00A40D2D">
        <w:rPr>
          <w:rFonts w:asciiTheme="minorHAnsi" w:hAnsiTheme="minorHAnsi" w:cstheme="minorHAnsi"/>
        </w:rPr>
        <w:t xml:space="preserve">. </w:t>
      </w:r>
    </w:p>
    <w:p w14:paraId="690AF543" w14:textId="77777777" w:rsidR="009D438D" w:rsidRPr="00A40D2D" w:rsidRDefault="009D438D" w:rsidP="009D438D">
      <w:pPr>
        <w:pStyle w:val="Normal1"/>
        <w:keepLines/>
        <w:rPr>
          <w:rFonts w:asciiTheme="minorHAnsi" w:hAnsiTheme="minorHAnsi" w:cstheme="minorHAnsi"/>
        </w:rPr>
      </w:pPr>
    </w:p>
    <w:p w14:paraId="646FFDAE" w14:textId="77777777" w:rsidR="009D438D" w:rsidRPr="00A40D2D" w:rsidRDefault="009D438D" w:rsidP="009D438D">
      <w:pPr>
        <w:pStyle w:val="Normal1"/>
        <w:keepNext/>
        <w:keepLines/>
        <w:rPr>
          <w:rFonts w:asciiTheme="minorHAnsi" w:hAnsiTheme="minorHAnsi" w:cstheme="minorHAnsi"/>
          <w:b/>
          <w:color w:val="auto"/>
        </w:rPr>
      </w:pPr>
    </w:p>
    <w:p w14:paraId="3763F419" w14:textId="77777777" w:rsidR="009D438D" w:rsidRPr="00A40D2D" w:rsidRDefault="009D438D" w:rsidP="009D438D">
      <w:pPr>
        <w:rPr>
          <w:rFonts w:asciiTheme="minorHAnsi" w:hAnsiTheme="minorHAnsi" w:cstheme="minorHAnsi"/>
          <w:color w:val="auto"/>
        </w:rPr>
      </w:pPr>
    </w:p>
    <w:p w14:paraId="6A332372" w14:textId="77777777" w:rsidR="00F450D5" w:rsidRPr="001E0418" w:rsidRDefault="00F450D5" w:rsidP="00C34DA4">
      <w:pPr>
        <w:spacing w:before="100" w:beforeAutospacing="1"/>
        <w:rPr>
          <w:rFonts w:asciiTheme="minorHAnsi" w:hAnsiTheme="minorHAnsi" w:cstheme="minorHAnsi"/>
          <w:color w:val="auto"/>
        </w:rPr>
      </w:pPr>
    </w:p>
    <w:sectPr w:rsidR="00F450D5" w:rsidRPr="001E0418" w:rsidSect="0042739D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7417C" w14:textId="77777777" w:rsidR="00996BFE" w:rsidRDefault="00996BFE" w:rsidP="0042739D">
      <w:pPr>
        <w:spacing w:after="0"/>
      </w:pPr>
      <w:r>
        <w:separator/>
      </w:r>
    </w:p>
  </w:endnote>
  <w:endnote w:type="continuationSeparator" w:id="0">
    <w:p w14:paraId="0679C3C2" w14:textId="77777777" w:rsidR="00996BFE" w:rsidRDefault="00996BFE" w:rsidP="004273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Light">
    <w:altName w:val="Akzidenz Grotesk BE Light"/>
    <w:charset w:val="00"/>
    <w:family w:val="swiss"/>
    <w:pitch w:val="default"/>
    <w:sig w:usb0="00000003" w:usb1="00000000" w:usb2="00000000" w:usb3="00000000" w:csb0="00000001" w:csb1="00000000"/>
  </w:font>
  <w:font w:name="Akzidenz Grotesk BE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25FB9" w14:textId="1AD26304" w:rsidR="00255AB4" w:rsidRDefault="00255AB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DC93B23" wp14:editId="6B34196C">
          <wp:simplePos x="0" y="0"/>
          <wp:positionH relativeFrom="margin">
            <wp:posOffset>-1038225</wp:posOffset>
          </wp:positionH>
          <wp:positionV relativeFrom="margin">
            <wp:posOffset>7934325</wp:posOffset>
          </wp:positionV>
          <wp:extent cx="8014444" cy="1381122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CT Letterhead_No Bra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684"/>
                  <a:stretch/>
                </pic:blipFill>
                <pic:spPr bwMode="auto">
                  <a:xfrm>
                    <a:off x="0" y="0"/>
                    <a:ext cx="8014444" cy="1381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A4DF6" w14:textId="347DA2DF" w:rsidR="00C34DA4" w:rsidRDefault="00C34DA4" w:rsidP="00C34DA4">
    <w:pPr>
      <w:pStyle w:val="Footer"/>
      <w:tabs>
        <w:tab w:val="clear" w:pos="4680"/>
        <w:tab w:val="clear" w:pos="9360"/>
        <w:tab w:val="left" w:pos="9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783BC" w14:textId="77777777" w:rsidR="00996BFE" w:rsidRDefault="00996BFE" w:rsidP="0042739D">
      <w:pPr>
        <w:spacing w:after="0"/>
      </w:pPr>
      <w:r>
        <w:separator/>
      </w:r>
    </w:p>
  </w:footnote>
  <w:footnote w:type="continuationSeparator" w:id="0">
    <w:p w14:paraId="77EC8747" w14:textId="77777777" w:rsidR="00996BFE" w:rsidRDefault="00996BFE" w:rsidP="004273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D5C1" w14:textId="14C53EA0" w:rsidR="00255AB4" w:rsidRDefault="00255AB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4C3B4D" wp14:editId="64751DBC">
          <wp:simplePos x="0" y="0"/>
          <wp:positionH relativeFrom="margin">
            <wp:align>center</wp:align>
          </wp:positionH>
          <wp:positionV relativeFrom="paragraph">
            <wp:posOffset>-533113</wp:posOffset>
          </wp:positionV>
          <wp:extent cx="7905569" cy="10230786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CT Letterhead_No B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569" cy="10230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413A"/>
    <w:multiLevelType w:val="hybridMultilevel"/>
    <w:tmpl w:val="03902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93E84"/>
    <w:multiLevelType w:val="hybridMultilevel"/>
    <w:tmpl w:val="B85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1FCC"/>
    <w:multiLevelType w:val="hybridMultilevel"/>
    <w:tmpl w:val="3FCA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A1023"/>
    <w:multiLevelType w:val="hybridMultilevel"/>
    <w:tmpl w:val="6F489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C3A"/>
    <w:rsid w:val="000023CD"/>
    <w:rsid w:val="00007E74"/>
    <w:rsid w:val="00036E77"/>
    <w:rsid w:val="00037C0C"/>
    <w:rsid w:val="000437FC"/>
    <w:rsid w:val="0005029C"/>
    <w:rsid w:val="0005333B"/>
    <w:rsid w:val="0005493D"/>
    <w:rsid w:val="0006277E"/>
    <w:rsid w:val="00064061"/>
    <w:rsid w:val="000902AA"/>
    <w:rsid w:val="0009529E"/>
    <w:rsid w:val="000A44FF"/>
    <w:rsid w:val="000B17BA"/>
    <w:rsid w:val="000B4F4D"/>
    <w:rsid w:val="000B6784"/>
    <w:rsid w:val="000C4201"/>
    <w:rsid w:val="001049AF"/>
    <w:rsid w:val="00107784"/>
    <w:rsid w:val="001167AA"/>
    <w:rsid w:val="00132814"/>
    <w:rsid w:val="00142C5E"/>
    <w:rsid w:val="00146577"/>
    <w:rsid w:val="00155E57"/>
    <w:rsid w:val="00157C98"/>
    <w:rsid w:val="001602EC"/>
    <w:rsid w:val="00174EB0"/>
    <w:rsid w:val="00186704"/>
    <w:rsid w:val="001A1506"/>
    <w:rsid w:val="001B062D"/>
    <w:rsid w:val="001B228C"/>
    <w:rsid w:val="001B317C"/>
    <w:rsid w:val="001C00FA"/>
    <w:rsid w:val="001C38E4"/>
    <w:rsid w:val="001C3D3C"/>
    <w:rsid w:val="001D0AE9"/>
    <w:rsid w:val="001E0418"/>
    <w:rsid w:val="001E4BE1"/>
    <w:rsid w:val="001E6F33"/>
    <w:rsid w:val="001E7FCF"/>
    <w:rsid w:val="002106B0"/>
    <w:rsid w:val="00215920"/>
    <w:rsid w:val="00220D6B"/>
    <w:rsid w:val="0022195B"/>
    <w:rsid w:val="002240F2"/>
    <w:rsid w:val="0022428B"/>
    <w:rsid w:val="0022594A"/>
    <w:rsid w:val="00245A51"/>
    <w:rsid w:val="00247477"/>
    <w:rsid w:val="00252422"/>
    <w:rsid w:val="00255A85"/>
    <w:rsid w:val="00255AB4"/>
    <w:rsid w:val="00256181"/>
    <w:rsid w:val="00260A6A"/>
    <w:rsid w:val="00275D07"/>
    <w:rsid w:val="00282CA9"/>
    <w:rsid w:val="00284B12"/>
    <w:rsid w:val="002957D7"/>
    <w:rsid w:val="002A54FB"/>
    <w:rsid w:val="002D4380"/>
    <w:rsid w:val="002E0313"/>
    <w:rsid w:val="002E29E6"/>
    <w:rsid w:val="002E6B7D"/>
    <w:rsid w:val="002F5DD5"/>
    <w:rsid w:val="00301C3A"/>
    <w:rsid w:val="0030280B"/>
    <w:rsid w:val="003171D7"/>
    <w:rsid w:val="00330679"/>
    <w:rsid w:val="00346B22"/>
    <w:rsid w:val="00351CDF"/>
    <w:rsid w:val="003762DD"/>
    <w:rsid w:val="00377FB0"/>
    <w:rsid w:val="00387B23"/>
    <w:rsid w:val="003B60C4"/>
    <w:rsid w:val="003D055E"/>
    <w:rsid w:val="003D2BB1"/>
    <w:rsid w:val="00404083"/>
    <w:rsid w:val="00407290"/>
    <w:rsid w:val="0040792D"/>
    <w:rsid w:val="00407B15"/>
    <w:rsid w:val="00413248"/>
    <w:rsid w:val="0042739D"/>
    <w:rsid w:val="004357B1"/>
    <w:rsid w:val="004473AE"/>
    <w:rsid w:val="00467641"/>
    <w:rsid w:val="00472660"/>
    <w:rsid w:val="00472AEB"/>
    <w:rsid w:val="0047332C"/>
    <w:rsid w:val="004753FF"/>
    <w:rsid w:val="00476305"/>
    <w:rsid w:val="00477655"/>
    <w:rsid w:val="004A3F21"/>
    <w:rsid w:val="004A77D2"/>
    <w:rsid w:val="004B07FB"/>
    <w:rsid w:val="004D3DBE"/>
    <w:rsid w:val="004E022B"/>
    <w:rsid w:val="004F3276"/>
    <w:rsid w:val="005025A1"/>
    <w:rsid w:val="005061F6"/>
    <w:rsid w:val="00521D6C"/>
    <w:rsid w:val="00526C21"/>
    <w:rsid w:val="00540C4F"/>
    <w:rsid w:val="00566AA0"/>
    <w:rsid w:val="00580CB6"/>
    <w:rsid w:val="00587C2D"/>
    <w:rsid w:val="005A5135"/>
    <w:rsid w:val="005A7915"/>
    <w:rsid w:val="005C5F15"/>
    <w:rsid w:val="005D72C4"/>
    <w:rsid w:val="005F12A3"/>
    <w:rsid w:val="00600DCD"/>
    <w:rsid w:val="006112EC"/>
    <w:rsid w:val="006154C7"/>
    <w:rsid w:val="006229E1"/>
    <w:rsid w:val="00626B09"/>
    <w:rsid w:val="00627DEB"/>
    <w:rsid w:val="00640049"/>
    <w:rsid w:val="006403E8"/>
    <w:rsid w:val="00642F96"/>
    <w:rsid w:val="0064669E"/>
    <w:rsid w:val="00670ABA"/>
    <w:rsid w:val="00675517"/>
    <w:rsid w:val="006844BB"/>
    <w:rsid w:val="0069091A"/>
    <w:rsid w:val="006951AC"/>
    <w:rsid w:val="006B6D89"/>
    <w:rsid w:val="006C4107"/>
    <w:rsid w:val="006C6134"/>
    <w:rsid w:val="006F766D"/>
    <w:rsid w:val="007032D3"/>
    <w:rsid w:val="007038DE"/>
    <w:rsid w:val="00721E7A"/>
    <w:rsid w:val="00736770"/>
    <w:rsid w:val="00783E77"/>
    <w:rsid w:val="0078408E"/>
    <w:rsid w:val="00793E8C"/>
    <w:rsid w:val="00794A20"/>
    <w:rsid w:val="007A69D1"/>
    <w:rsid w:val="007B6899"/>
    <w:rsid w:val="007C3D1B"/>
    <w:rsid w:val="007C6CF9"/>
    <w:rsid w:val="007E7700"/>
    <w:rsid w:val="00803A7F"/>
    <w:rsid w:val="00807C50"/>
    <w:rsid w:val="00814DD5"/>
    <w:rsid w:val="0081500A"/>
    <w:rsid w:val="00830A9E"/>
    <w:rsid w:val="00853B4B"/>
    <w:rsid w:val="00861610"/>
    <w:rsid w:val="008626E6"/>
    <w:rsid w:val="00881D91"/>
    <w:rsid w:val="00884F1B"/>
    <w:rsid w:val="00895401"/>
    <w:rsid w:val="0089619D"/>
    <w:rsid w:val="008A09AB"/>
    <w:rsid w:val="008A3D01"/>
    <w:rsid w:val="008B0FA5"/>
    <w:rsid w:val="008B189F"/>
    <w:rsid w:val="008C00CB"/>
    <w:rsid w:val="008D7FC4"/>
    <w:rsid w:val="008E1534"/>
    <w:rsid w:val="008F131F"/>
    <w:rsid w:val="008F1DE4"/>
    <w:rsid w:val="008F3626"/>
    <w:rsid w:val="008F53E3"/>
    <w:rsid w:val="00936E95"/>
    <w:rsid w:val="00951955"/>
    <w:rsid w:val="00961BF6"/>
    <w:rsid w:val="009678B5"/>
    <w:rsid w:val="00981574"/>
    <w:rsid w:val="009822CF"/>
    <w:rsid w:val="00996438"/>
    <w:rsid w:val="00996BFE"/>
    <w:rsid w:val="009C44B3"/>
    <w:rsid w:val="009C7F0E"/>
    <w:rsid w:val="009D438D"/>
    <w:rsid w:val="009D56B7"/>
    <w:rsid w:val="00A10E20"/>
    <w:rsid w:val="00A1562B"/>
    <w:rsid w:val="00A47592"/>
    <w:rsid w:val="00A553D9"/>
    <w:rsid w:val="00A615E8"/>
    <w:rsid w:val="00A641F8"/>
    <w:rsid w:val="00A80C74"/>
    <w:rsid w:val="00A81FD1"/>
    <w:rsid w:val="00A8751D"/>
    <w:rsid w:val="00A95EE3"/>
    <w:rsid w:val="00AA22F1"/>
    <w:rsid w:val="00AA4F08"/>
    <w:rsid w:val="00AD1187"/>
    <w:rsid w:val="00AD5142"/>
    <w:rsid w:val="00AE65F3"/>
    <w:rsid w:val="00AF2766"/>
    <w:rsid w:val="00B01CB6"/>
    <w:rsid w:val="00B119FD"/>
    <w:rsid w:val="00B15D38"/>
    <w:rsid w:val="00B31061"/>
    <w:rsid w:val="00B44598"/>
    <w:rsid w:val="00B4537F"/>
    <w:rsid w:val="00B6083D"/>
    <w:rsid w:val="00B84405"/>
    <w:rsid w:val="00B90DF5"/>
    <w:rsid w:val="00BA1077"/>
    <w:rsid w:val="00BA7AEC"/>
    <w:rsid w:val="00BC6965"/>
    <w:rsid w:val="00BC715C"/>
    <w:rsid w:val="00BE04D0"/>
    <w:rsid w:val="00BE5EF1"/>
    <w:rsid w:val="00C01ACF"/>
    <w:rsid w:val="00C2057D"/>
    <w:rsid w:val="00C20AF2"/>
    <w:rsid w:val="00C3083E"/>
    <w:rsid w:val="00C34DA4"/>
    <w:rsid w:val="00C36588"/>
    <w:rsid w:val="00C50393"/>
    <w:rsid w:val="00C52D14"/>
    <w:rsid w:val="00C60CE5"/>
    <w:rsid w:val="00C70E7E"/>
    <w:rsid w:val="00C75CB6"/>
    <w:rsid w:val="00C8265F"/>
    <w:rsid w:val="00C93EE6"/>
    <w:rsid w:val="00CA6D02"/>
    <w:rsid w:val="00CC3A71"/>
    <w:rsid w:val="00CC3B98"/>
    <w:rsid w:val="00CD0EE5"/>
    <w:rsid w:val="00CD35FA"/>
    <w:rsid w:val="00CE5E3A"/>
    <w:rsid w:val="00CE7318"/>
    <w:rsid w:val="00CF51CB"/>
    <w:rsid w:val="00D02524"/>
    <w:rsid w:val="00D02B18"/>
    <w:rsid w:val="00D20499"/>
    <w:rsid w:val="00D24C15"/>
    <w:rsid w:val="00D3632F"/>
    <w:rsid w:val="00D370FB"/>
    <w:rsid w:val="00D44CB6"/>
    <w:rsid w:val="00D46022"/>
    <w:rsid w:val="00D47829"/>
    <w:rsid w:val="00D56255"/>
    <w:rsid w:val="00D733FE"/>
    <w:rsid w:val="00D81A1D"/>
    <w:rsid w:val="00D92874"/>
    <w:rsid w:val="00D94C93"/>
    <w:rsid w:val="00DA0925"/>
    <w:rsid w:val="00DA1F73"/>
    <w:rsid w:val="00DA5ADD"/>
    <w:rsid w:val="00DB2CE4"/>
    <w:rsid w:val="00DE21C3"/>
    <w:rsid w:val="00E0203E"/>
    <w:rsid w:val="00E0371B"/>
    <w:rsid w:val="00E03797"/>
    <w:rsid w:val="00E114C8"/>
    <w:rsid w:val="00E2287E"/>
    <w:rsid w:val="00E242B3"/>
    <w:rsid w:val="00E322E7"/>
    <w:rsid w:val="00E34539"/>
    <w:rsid w:val="00E376C2"/>
    <w:rsid w:val="00E428E9"/>
    <w:rsid w:val="00E42FF2"/>
    <w:rsid w:val="00E63279"/>
    <w:rsid w:val="00E64717"/>
    <w:rsid w:val="00E91E01"/>
    <w:rsid w:val="00E91F55"/>
    <w:rsid w:val="00EA620E"/>
    <w:rsid w:val="00EB4F03"/>
    <w:rsid w:val="00EB74FD"/>
    <w:rsid w:val="00EC0BBB"/>
    <w:rsid w:val="00EC4E15"/>
    <w:rsid w:val="00ED287D"/>
    <w:rsid w:val="00ED2C70"/>
    <w:rsid w:val="00EE0065"/>
    <w:rsid w:val="00EE213B"/>
    <w:rsid w:val="00EE7872"/>
    <w:rsid w:val="00EF4A08"/>
    <w:rsid w:val="00F01F07"/>
    <w:rsid w:val="00F040CA"/>
    <w:rsid w:val="00F06A4F"/>
    <w:rsid w:val="00F11732"/>
    <w:rsid w:val="00F12F71"/>
    <w:rsid w:val="00F16EB9"/>
    <w:rsid w:val="00F21490"/>
    <w:rsid w:val="00F33E25"/>
    <w:rsid w:val="00F450D5"/>
    <w:rsid w:val="00F53225"/>
    <w:rsid w:val="00F66844"/>
    <w:rsid w:val="00F75056"/>
    <w:rsid w:val="00F80D37"/>
    <w:rsid w:val="00F95D84"/>
    <w:rsid w:val="00FA1020"/>
    <w:rsid w:val="00FA1C31"/>
    <w:rsid w:val="00FB4B9A"/>
    <w:rsid w:val="00FB75B8"/>
    <w:rsid w:val="00FC4C93"/>
    <w:rsid w:val="00FC5563"/>
    <w:rsid w:val="00FD62B4"/>
    <w:rsid w:val="00FD6BBB"/>
    <w:rsid w:val="00FD6D6C"/>
    <w:rsid w:val="00FD7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AF9329"/>
  <w15:docId w15:val="{5DEDC3D6-6FC7-4DFE-86A3-7EB19475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1C3A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1C3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73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739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273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119FD"/>
  </w:style>
  <w:style w:type="character" w:styleId="CommentReference">
    <w:name w:val="annotation reference"/>
    <w:basedOn w:val="DefaultParagraphFont"/>
    <w:uiPriority w:val="99"/>
    <w:semiHidden/>
    <w:unhideWhenUsed/>
    <w:rsid w:val="00F53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2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2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2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22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0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3626"/>
    <w:rPr>
      <w:color w:val="605E5C"/>
      <w:shd w:val="clear" w:color="auto" w:fill="E1DFDD"/>
    </w:rPr>
  </w:style>
  <w:style w:type="paragraph" w:styleId="Revision">
    <w:name w:val="Revision"/>
    <w:hidden/>
    <w:semiHidden/>
    <w:rsid w:val="00E42FF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E21C3"/>
    <w:rPr>
      <w:b/>
      <w:bCs/>
    </w:rPr>
  </w:style>
  <w:style w:type="paragraph" w:styleId="ListParagraph">
    <w:name w:val="List Paragraph"/>
    <w:basedOn w:val="Normal"/>
    <w:rsid w:val="00DE21C3"/>
    <w:pPr>
      <w:ind w:left="720"/>
      <w:contextualSpacing/>
    </w:pPr>
  </w:style>
  <w:style w:type="paragraph" w:customStyle="1" w:styleId="normal10">
    <w:name w:val="normal1"/>
    <w:basedOn w:val="Normal"/>
    <w:rsid w:val="00F12F71"/>
    <w:pPr>
      <w:spacing w:before="100" w:beforeAutospacing="1" w:after="100" w:afterAutospacing="1"/>
    </w:pPr>
    <w:rPr>
      <w:color w:val="auto"/>
    </w:rPr>
  </w:style>
  <w:style w:type="character" w:customStyle="1" w:styleId="A2">
    <w:name w:val="A2"/>
    <w:uiPriority w:val="99"/>
    <w:rsid w:val="009D438D"/>
    <w:rPr>
      <w:rFonts w:cs="Akzidenz Grotesk BE Light"/>
      <w:color w:val="000000"/>
      <w:sz w:val="20"/>
      <w:szCs w:val="20"/>
    </w:rPr>
  </w:style>
  <w:style w:type="character" w:customStyle="1" w:styleId="A1">
    <w:name w:val="A1"/>
    <w:uiPriority w:val="99"/>
    <w:rsid w:val="009D438D"/>
    <w:rPr>
      <w:rFonts w:ascii="Akzidenz Grotesk BE Bold" w:hAnsi="Akzidenz Grotesk BE Bold" w:cs="Akzidenz Grotesk BE Bold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494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88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0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402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5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56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xcooling.com/evaporative-fluid-coolers/marley-mh-element-fluid-cool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w.rogers@spx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x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pxcoo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xcooling.com/library/marley-mh-fluid-cooler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SPX Corporation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Jacobson</dc:creator>
  <cp:lastModifiedBy>Rogers, Andrew</cp:lastModifiedBy>
  <cp:revision>2</cp:revision>
  <dcterms:created xsi:type="dcterms:W3CDTF">2023-02-02T16:17:00Z</dcterms:created>
  <dcterms:modified xsi:type="dcterms:W3CDTF">2023-02-02T16:17:00Z</dcterms:modified>
</cp:coreProperties>
</file>